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8DB8C" w14:textId="59F9F1F3" w:rsidR="00C15CD2" w:rsidRDefault="00C15CD2" w:rsidP="00E70008">
      <w:pPr>
        <w:jc w:val="center"/>
        <w:rPr>
          <w:rFonts w:ascii="Arial" w:hAnsi="Arial" w:cs="Arial"/>
          <w:b/>
          <w:bCs/>
          <w:sz w:val="36"/>
          <w:szCs w:val="36"/>
          <w:u w:val="single"/>
        </w:rPr>
      </w:pPr>
      <w:r w:rsidRPr="00E70008">
        <w:rPr>
          <w:rFonts w:ascii="Arial" w:hAnsi="Arial" w:cs="Arial"/>
          <w:b/>
          <w:bCs/>
          <w:sz w:val="36"/>
          <w:szCs w:val="36"/>
          <w:u w:val="single"/>
        </w:rPr>
        <w:t>DO DENTAL TECHNICIANS DISADVANTAGE THEMSELVES IN REGULATORY MATTERS?</w:t>
      </w:r>
    </w:p>
    <w:p w14:paraId="64C3E545" w14:textId="4A3F7AC8" w:rsidR="00E70008" w:rsidRDefault="00E70008" w:rsidP="00E70008">
      <w:pPr>
        <w:jc w:val="center"/>
        <w:rPr>
          <w:rFonts w:ascii="Arial" w:hAnsi="Arial" w:cs="Arial"/>
          <w:b/>
          <w:bCs/>
          <w:sz w:val="36"/>
          <w:szCs w:val="36"/>
          <w:u w:val="single"/>
        </w:rPr>
      </w:pPr>
    </w:p>
    <w:p w14:paraId="00562805" w14:textId="6B342D05" w:rsidR="00E70008" w:rsidRDefault="00E70008" w:rsidP="00E70008">
      <w:pPr>
        <w:rPr>
          <w:rFonts w:ascii="Arial" w:hAnsi="Arial" w:cs="Arial"/>
          <w:sz w:val="22"/>
          <w:szCs w:val="22"/>
        </w:rPr>
      </w:pPr>
      <w:r w:rsidRPr="00E70008">
        <w:rPr>
          <w:rFonts w:ascii="Arial" w:hAnsi="Arial" w:cs="Arial"/>
          <w:sz w:val="22"/>
          <w:szCs w:val="22"/>
        </w:rPr>
        <w:t>Heather Beckett</w:t>
      </w:r>
      <w:r w:rsidR="00003796">
        <w:rPr>
          <w:rFonts w:ascii="Arial" w:hAnsi="Arial" w:cs="Arial"/>
          <w:sz w:val="22"/>
          <w:szCs w:val="22"/>
        </w:rPr>
        <w:t>, Specialist in Restorative Dentistry</w:t>
      </w:r>
    </w:p>
    <w:p w14:paraId="13771E0A" w14:textId="4BB0144C" w:rsidR="00E70008" w:rsidRDefault="00E70008" w:rsidP="00E70008">
      <w:pPr>
        <w:rPr>
          <w:rFonts w:ascii="Arial" w:hAnsi="Arial" w:cs="Arial"/>
          <w:sz w:val="22"/>
          <w:szCs w:val="22"/>
        </w:rPr>
      </w:pPr>
      <w:r>
        <w:rPr>
          <w:rFonts w:ascii="Arial" w:hAnsi="Arial" w:cs="Arial"/>
          <w:sz w:val="22"/>
          <w:szCs w:val="22"/>
        </w:rPr>
        <w:t xml:space="preserve">Barrister </w:t>
      </w:r>
    </w:p>
    <w:p w14:paraId="3D078EA3" w14:textId="23D2FC3B" w:rsidR="00003796" w:rsidRDefault="00003796" w:rsidP="00E70008">
      <w:pPr>
        <w:rPr>
          <w:rFonts w:ascii="Arial" w:hAnsi="Arial" w:cs="Arial"/>
          <w:sz w:val="22"/>
          <w:szCs w:val="22"/>
        </w:rPr>
      </w:pPr>
      <w:r>
        <w:rPr>
          <w:rFonts w:ascii="Arial" w:hAnsi="Arial" w:cs="Arial"/>
          <w:sz w:val="22"/>
          <w:szCs w:val="22"/>
        </w:rPr>
        <w:t>Goldsmith Chambers</w:t>
      </w:r>
    </w:p>
    <w:p w14:paraId="702326B7" w14:textId="4BDF633E" w:rsidR="00003796" w:rsidRDefault="00003796" w:rsidP="00E70008">
      <w:pPr>
        <w:rPr>
          <w:rFonts w:ascii="Arial" w:hAnsi="Arial" w:cs="Arial"/>
          <w:sz w:val="22"/>
          <w:szCs w:val="22"/>
        </w:rPr>
      </w:pPr>
      <w:r>
        <w:rPr>
          <w:rFonts w:ascii="Arial" w:hAnsi="Arial" w:cs="Arial"/>
          <w:sz w:val="22"/>
          <w:szCs w:val="22"/>
        </w:rPr>
        <w:t>Goldsmith Building</w:t>
      </w:r>
    </w:p>
    <w:p w14:paraId="53EF1285" w14:textId="00456A1D" w:rsidR="00003796" w:rsidRDefault="00003796" w:rsidP="00E70008">
      <w:pPr>
        <w:rPr>
          <w:rFonts w:ascii="Arial" w:hAnsi="Arial" w:cs="Arial"/>
          <w:sz w:val="22"/>
          <w:szCs w:val="22"/>
        </w:rPr>
      </w:pPr>
      <w:r>
        <w:rPr>
          <w:rFonts w:ascii="Arial" w:hAnsi="Arial" w:cs="Arial"/>
          <w:sz w:val="22"/>
          <w:szCs w:val="22"/>
        </w:rPr>
        <w:t>Temple</w:t>
      </w:r>
    </w:p>
    <w:p w14:paraId="0204913D" w14:textId="6ECF0DF3" w:rsidR="00003796" w:rsidRPr="00E70008" w:rsidRDefault="00003796" w:rsidP="00E70008">
      <w:pPr>
        <w:rPr>
          <w:rFonts w:ascii="Arial" w:hAnsi="Arial" w:cs="Arial"/>
          <w:sz w:val="22"/>
          <w:szCs w:val="22"/>
        </w:rPr>
      </w:pPr>
      <w:r>
        <w:rPr>
          <w:rFonts w:ascii="Arial" w:hAnsi="Arial" w:cs="Arial"/>
          <w:sz w:val="22"/>
          <w:szCs w:val="22"/>
        </w:rPr>
        <w:t>London EC4Y 7BL</w:t>
      </w:r>
    </w:p>
    <w:p w14:paraId="29EE81F5" w14:textId="77777777" w:rsidR="00E70008" w:rsidRPr="00E70008" w:rsidRDefault="00E70008" w:rsidP="00E70008">
      <w:pPr>
        <w:rPr>
          <w:rFonts w:ascii="Arial" w:hAnsi="Arial" w:cs="Arial"/>
          <w:sz w:val="28"/>
          <w:szCs w:val="28"/>
        </w:rPr>
      </w:pPr>
    </w:p>
    <w:p w14:paraId="78943C66" w14:textId="4FA27F9A" w:rsidR="00C15CD2" w:rsidRPr="00003796" w:rsidRDefault="00003796" w:rsidP="00B361D1">
      <w:pPr>
        <w:rPr>
          <w:rFonts w:ascii="Arial" w:hAnsi="Arial" w:cs="Arial"/>
          <w:b/>
          <w:bCs/>
          <w:sz w:val="22"/>
          <w:szCs w:val="22"/>
          <w:u w:val="single"/>
        </w:rPr>
      </w:pPr>
      <w:r w:rsidRPr="00003796">
        <w:rPr>
          <w:rFonts w:ascii="Arial" w:hAnsi="Arial" w:cs="Arial"/>
          <w:b/>
          <w:bCs/>
          <w:sz w:val="22"/>
          <w:szCs w:val="22"/>
          <w:u w:val="single"/>
        </w:rPr>
        <w:t>INTRODUCTION</w:t>
      </w:r>
    </w:p>
    <w:p w14:paraId="62B0EF27" w14:textId="38D39052" w:rsidR="00003796" w:rsidRDefault="00003796" w:rsidP="00B361D1">
      <w:pPr>
        <w:rPr>
          <w:rFonts w:ascii="Arial" w:hAnsi="Arial" w:cs="Arial"/>
          <w:sz w:val="22"/>
          <w:szCs w:val="22"/>
        </w:rPr>
      </w:pPr>
    </w:p>
    <w:p w14:paraId="27547BDF" w14:textId="77777777" w:rsidR="00003796" w:rsidRDefault="00003796" w:rsidP="00B361D1">
      <w:pPr>
        <w:rPr>
          <w:rFonts w:ascii="Arial" w:hAnsi="Arial" w:cs="Arial"/>
          <w:sz w:val="22"/>
          <w:szCs w:val="22"/>
        </w:rPr>
      </w:pPr>
    </w:p>
    <w:p w14:paraId="65A3D3C7" w14:textId="1F6B75D5" w:rsidR="002E6FA6" w:rsidRDefault="00177CC4" w:rsidP="00B361D1">
      <w:pPr>
        <w:rPr>
          <w:rFonts w:ascii="Source Sans Pro" w:eastAsia="Times New Roman" w:hAnsi="Source Sans Pro" w:cs="Times New Roman"/>
          <w:color w:val="212121"/>
          <w:lang w:eastAsia="en-GB"/>
        </w:rPr>
      </w:pPr>
      <w:r>
        <w:rPr>
          <w:rFonts w:ascii="Arial" w:hAnsi="Arial" w:cs="Arial"/>
          <w:sz w:val="22"/>
          <w:szCs w:val="22"/>
        </w:rPr>
        <w:t>The General Dental Council</w:t>
      </w:r>
      <w:r w:rsidR="002E6FA6">
        <w:rPr>
          <w:rFonts w:ascii="Arial" w:hAnsi="Arial" w:cs="Arial"/>
          <w:sz w:val="22"/>
          <w:szCs w:val="22"/>
        </w:rPr>
        <w:t>, (“GDC”)</w:t>
      </w:r>
      <w:r w:rsidR="00E374CF">
        <w:rPr>
          <w:rFonts w:ascii="Arial" w:hAnsi="Arial" w:cs="Arial"/>
          <w:sz w:val="22"/>
          <w:szCs w:val="22"/>
        </w:rPr>
        <w:t>,</w:t>
      </w:r>
      <w:r>
        <w:rPr>
          <w:rFonts w:ascii="Arial" w:hAnsi="Arial" w:cs="Arial"/>
          <w:sz w:val="22"/>
          <w:szCs w:val="22"/>
        </w:rPr>
        <w:t xml:space="preserve"> was established pursuant to Section 1 of the </w:t>
      </w:r>
      <w:r w:rsidR="00EF4D5F">
        <w:rPr>
          <w:rFonts w:ascii="Arial" w:hAnsi="Arial" w:cs="Arial"/>
          <w:sz w:val="22"/>
          <w:szCs w:val="22"/>
        </w:rPr>
        <w:t>Dentists Act 1956</w:t>
      </w:r>
      <w:r w:rsidR="00EF4D5F">
        <w:rPr>
          <w:rStyle w:val="FootnoteReference"/>
          <w:rFonts w:ascii="Arial" w:hAnsi="Arial" w:cs="Arial"/>
          <w:sz w:val="22"/>
          <w:szCs w:val="22"/>
        </w:rPr>
        <w:footnoteReference w:id="1"/>
      </w:r>
      <w:r w:rsidR="00EF4D5F">
        <w:rPr>
          <w:rFonts w:ascii="Source Sans Pro" w:eastAsia="Times New Roman" w:hAnsi="Source Sans Pro" w:cs="Times New Roman"/>
          <w:color w:val="212121"/>
          <w:lang w:eastAsia="en-GB"/>
        </w:rPr>
        <w:t xml:space="preserve">.  </w:t>
      </w:r>
    </w:p>
    <w:p w14:paraId="7FA9CCAE" w14:textId="77777777" w:rsidR="002E6FA6" w:rsidRDefault="002E6FA6" w:rsidP="00B361D1">
      <w:pPr>
        <w:rPr>
          <w:rFonts w:ascii="Source Sans Pro" w:eastAsia="Times New Roman" w:hAnsi="Source Sans Pro" w:cs="Times New Roman"/>
          <w:color w:val="212121"/>
          <w:lang w:eastAsia="en-GB"/>
        </w:rPr>
      </w:pPr>
    </w:p>
    <w:p w14:paraId="7A1FE76B" w14:textId="2183E8BA" w:rsidR="00C07064" w:rsidRPr="00AA1A8A" w:rsidRDefault="00C07064" w:rsidP="005D2B86">
      <w:pPr>
        <w:outlineLvl w:val="3"/>
        <w:rPr>
          <w:rFonts w:ascii="Source Sans Pro" w:eastAsia="Times New Roman" w:hAnsi="Source Sans Pro" w:cs="Times New Roman"/>
          <w:color w:val="212121"/>
          <w:lang w:eastAsia="en-GB"/>
        </w:rPr>
      </w:pPr>
      <w:r>
        <w:rPr>
          <w:rFonts w:ascii="Arial" w:hAnsi="Arial" w:cs="Arial"/>
          <w:sz w:val="22"/>
          <w:szCs w:val="22"/>
        </w:rPr>
        <w:t xml:space="preserve">Section 1 of the </w:t>
      </w:r>
      <w:r w:rsidR="002E6FA6">
        <w:rPr>
          <w:rFonts w:ascii="Arial" w:hAnsi="Arial" w:cs="Arial"/>
          <w:sz w:val="22"/>
          <w:szCs w:val="22"/>
        </w:rPr>
        <w:t>Dentists Act 1984</w:t>
      </w:r>
      <w:r>
        <w:rPr>
          <w:rStyle w:val="FootnoteReference"/>
          <w:rFonts w:ascii="Arial" w:hAnsi="Arial" w:cs="Arial"/>
          <w:sz w:val="22"/>
          <w:szCs w:val="22"/>
        </w:rPr>
        <w:footnoteReference w:id="2"/>
      </w:r>
      <w:r>
        <w:rPr>
          <w:rFonts w:ascii="Arial" w:hAnsi="Arial" w:cs="Arial"/>
          <w:sz w:val="22"/>
          <w:szCs w:val="22"/>
        </w:rPr>
        <w:t xml:space="preserve">, sets out the </w:t>
      </w:r>
      <w:r w:rsidR="00E374CF">
        <w:rPr>
          <w:rFonts w:ascii="Arial" w:hAnsi="Arial" w:cs="Arial"/>
          <w:sz w:val="22"/>
          <w:szCs w:val="22"/>
        </w:rPr>
        <w:t xml:space="preserve">current </w:t>
      </w:r>
      <w:r>
        <w:rPr>
          <w:rFonts w:ascii="Arial" w:hAnsi="Arial" w:cs="Arial"/>
          <w:sz w:val="22"/>
          <w:szCs w:val="22"/>
        </w:rPr>
        <w:t>statutory general duties of the GDC, (referred to as “the Council” in this statute</w:t>
      </w:r>
      <w:r w:rsidR="00B32058">
        <w:rPr>
          <w:rFonts w:ascii="Arial" w:hAnsi="Arial" w:cs="Arial"/>
          <w:sz w:val="22"/>
          <w:szCs w:val="22"/>
        </w:rPr>
        <w:t>):</w:t>
      </w:r>
    </w:p>
    <w:p w14:paraId="34FDF1AD" w14:textId="08C0D10C" w:rsidR="00C07064" w:rsidRPr="00AA1A8A" w:rsidRDefault="00C07064" w:rsidP="00C07064">
      <w:pPr>
        <w:rPr>
          <w:rFonts w:ascii="Times New Roman" w:eastAsia="Times New Roman" w:hAnsi="Times New Roman" w:cs="Times New Roman"/>
          <w:lang w:eastAsia="en-GB"/>
        </w:rPr>
      </w:pPr>
    </w:p>
    <w:p w14:paraId="0D2D52CA" w14:textId="77777777" w:rsidR="00C07064" w:rsidRPr="00AA1A8A" w:rsidRDefault="00C07064" w:rsidP="00B32058">
      <w:pPr>
        <w:ind w:left="720"/>
        <w:rPr>
          <w:rFonts w:ascii="Arial" w:eastAsia="Times New Roman" w:hAnsi="Arial" w:cs="Arial"/>
          <w:i/>
          <w:iCs/>
          <w:color w:val="212121"/>
          <w:sz w:val="22"/>
          <w:szCs w:val="22"/>
          <w:lang w:eastAsia="en-GB"/>
        </w:rPr>
      </w:pPr>
      <w:r w:rsidRPr="00AA1A8A">
        <w:rPr>
          <w:rFonts w:ascii="Arial" w:eastAsia="Times New Roman" w:hAnsi="Arial" w:cs="Arial"/>
          <w:i/>
          <w:iCs/>
          <w:color w:val="212121"/>
          <w:sz w:val="22"/>
          <w:szCs w:val="22"/>
          <w:lang w:eastAsia="en-GB"/>
        </w:rPr>
        <w:t>(1ZA)  The over-arching objective of the Council in exercising their functions under this Act is the protection of the public.</w:t>
      </w:r>
    </w:p>
    <w:p w14:paraId="1ECDDA2A" w14:textId="77777777" w:rsidR="00C07064" w:rsidRPr="00AA1A8A" w:rsidRDefault="00C07064" w:rsidP="00B32058">
      <w:pPr>
        <w:ind w:left="720"/>
        <w:rPr>
          <w:rFonts w:ascii="Arial" w:eastAsia="Times New Roman" w:hAnsi="Arial" w:cs="Arial"/>
          <w:i/>
          <w:iCs/>
          <w:color w:val="212121"/>
          <w:sz w:val="22"/>
          <w:szCs w:val="22"/>
          <w:lang w:eastAsia="en-GB"/>
        </w:rPr>
      </w:pPr>
      <w:r w:rsidRPr="00AA1A8A">
        <w:rPr>
          <w:rFonts w:ascii="Arial" w:eastAsia="Times New Roman" w:hAnsi="Arial" w:cs="Arial"/>
          <w:i/>
          <w:iCs/>
          <w:color w:val="212121"/>
          <w:sz w:val="22"/>
          <w:szCs w:val="22"/>
          <w:lang w:eastAsia="en-GB"/>
        </w:rPr>
        <w:t>(1ZB)  The pursuit by the Council of their over-arching objective involves the pursuit of the following objectives—</w:t>
      </w:r>
    </w:p>
    <w:p w14:paraId="5A373B5F" w14:textId="77777777" w:rsidR="00C07064" w:rsidRPr="00AA1A8A" w:rsidRDefault="00C07064" w:rsidP="00B32058">
      <w:pPr>
        <w:ind w:firstLine="720"/>
        <w:rPr>
          <w:rFonts w:ascii="Arial" w:eastAsia="Times New Roman" w:hAnsi="Arial" w:cs="Arial"/>
          <w:i/>
          <w:iCs/>
          <w:color w:val="212121"/>
          <w:sz w:val="22"/>
          <w:szCs w:val="22"/>
          <w:lang w:eastAsia="en-GB"/>
        </w:rPr>
      </w:pPr>
      <w:r w:rsidRPr="00AA1A8A">
        <w:rPr>
          <w:rFonts w:ascii="Arial" w:eastAsia="Times New Roman" w:hAnsi="Arial" w:cs="Arial"/>
          <w:i/>
          <w:iCs/>
          <w:color w:val="212121"/>
          <w:sz w:val="22"/>
          <w:szCs w:val="22"/>
          <w:lang w:eastAsia="en-GB"/>
        </w:rPr>
        <w:t>(a)  to protect, promote and maintain the health, safety and well-being of the public;</w:t>
      </w:r>
    </w:p>
    <w:p w14:paraId="13ED9B9C" w14:textId="77777777" w:rsidR="00C07064" w:rsidRPr="00AA1A8A" w:rsidRDefault="00C07064" w:rsidP="00B32058">
      <w:pPr>
        <w:ind w:left="720"/>
        <w:rPr>
          <w:rFonts w:ascii="Arial" w:eastAsia="Times New Roman" w:hAnsi="Arial" w:cs="Arial"/>
          <w:i/>
          <w:iCs/>
          <w:color w:val="212121"/>
          <w:sz w:val="22"/>
          <w:szCs w:val="22"/>
          <w:lang w:eastAsia="en-GB"/>
        </w:rPr>
      </w:pPr>
      <w:r w:rsidRPr="00AA1A8A">
        <w:rPr>
          <w:rFonts w:ascii="Arial" w:eastAsia="Times New Roman" w:hAnsi="Arial" w:cs="Arial"/>
          <w:i/>
          <w:iCs/>
          <w:color w:val="212121"/>
          <w:sz w:val="22"/>
          <w:szCs w:val="22"/>
          <w:lang w:eastAsia="en-GB"/>
        </w:rPr>
        <w:t>(b)  to promote and maintain public confidence in the professions regulated under this Act; and</w:t>
      </w:r>
    </w:p>
    <w:p w14:paraId="0FEB7465" w14:textId="68D30FBA" w:rsidR="002E6FA6" w:rsidRPr="009D5213" w:rsidRDefault="00C07064" w:rsidP="009D5213">
      <w:pPr>
        <w:ind w:left="720"/>
        <w:rPr>
          <w:rFonts w:ascii="Arial" w:eastAsia="Times New Roman" w:hAnsi="Arial" w:cs="Arial"/>
          <w:i/>
          <w:iCs/>
          <w:color w:val="212121"/>
          <w:sz w:val="22"/>
          <w:szCs w:val="22"/>
          <w:lang w:eastAsia="en-GB"/>
        </w:rPr>
      </w:pPr>
      <w:r w:rsidRPr="00AA1A8A">
        <w:rPr>
          <w:rFonts w:ascii="Arial" w:eastAsia="Times New Roman" w:hAnsi="Arial" w:cs="Arial"/>
          <w:i/>
          <w:iCs/>
          <w:color w:val="212121"/>
          <w:sz w:val="22"/>
          <w:szCs w:val="22"/>
          <w:lang w:eastAsia="en-GB"/>
        </w:rPr>
        <w:t>(c)  to promote and maintain proper professional standards and conduct for members of those professions.</w:t>
      </w:r>
    </w:p>
    <w:p w14:paraId="779E27F8" w14:textId="77777777" w:rsidR="002E6FA6" w:rsidRDefault="002E6FA6" w:rsidP="00B361D1">
      <w:pPr>
        <w:rPr>
          <w:rFonts w:ascii="Source Sans Pro" w:eastAsia="Times New Roman" w:hAnsi="Source Sans Pro" w:cs="Times New Roman"/>
          <w:color w:val="212121"/>
          <w:lang w:eastAsia="en-GB"/>
        </w:rPr>
      </w:pPr>
    </w:p>
    <w:p w14:paraId="6C564CA4" w14:textId="401DA073" w:rsidR="00EC2249" w:rsidRDefault="002E6FA6" w:rsidP="00B361D1">
      <w:pPr>
        <w:rPr>
          <w:rFonts w:ascii="Arial" w:hAnsi="Arial" w:cs="Arial"/>
          <w:sz w:val="22"/>
          <w:szCs w:val="22"/>
        </w:rPr>
      </w:pPr>
      <w:r>
        <w:rPr>
          <w:rFonts w:ascii="Arial" w:hAnsi="Arial" w:cs="Arial"/>
          <w:sz w:val="22"/>
          <w:szCs w:val="22"/>
        </w:rPr>
        <w:t xml:space="preserve">Accordingly, the </w:t>
      </w:r>
      <w:r w:rsidRPr="002E6FA6">
        <w:rPr>
          <w:rFonts w:ascii="Arial" w:hAnsi="Arial" w:cs="Arial"/>
          <w:sz w:val="22"/>
          <w:szCs w:val="22"/>
        </w:rPr>
        <w:t xml:space="preserve">GDC currently publishes </w:t>
      </w:r>
      <w:r w:rsidR="00B32058">
        <w:rPr>
          <w:rFonts w:ascii="Arial" w:hAnsi="Arial" w:cs="Arial"/>
          <w:sz w:val="22"/>
          <w:szCs w:val="22"/>
        </w:rPr>
        <w:t xml:space="preserve">on its website </w:t>
      </w:r>
      <w:r>
        <w:rPr>
          <w:rFonts w:ascii="Arial" w:hAnsi="Arial" w:cs="Arial"/>
          <w:sz w:val="22"/>
          <w:szCs w:val="22"/>
        </w:rPr>
        <w:t xml:space="preserve">the following purpose and </w:t>
      </w:r>
      <w:r w:rsidR="00E374CF">
        <w:rPr>
          <w:rFonts w:ascii="Arial" w:hAnsi="Arial" w:cs="Arial"/>
          <w:sz w:val="22"/>
          <w:szCs w:val="22"/>
        </w:rPr>
        <w:t xml:space="preserve">its </w:t>
      </w:r>
      <w:r>
        <w:rPr>
          <w:rFonts w:ascii="Arial" w:hAnsi="Arial" w:cs="Arial"/>
          <w:sz w:val="22"/>
          <w:szCs w:val="22"/>
        </w:rPr>
        <w:t>approach to achievement of same:</w:t>
      </w:r>
    </w:p>
    <w:p w14:paraId="5C6A0208" w14:textId="69DCE3D1" w:rsidR="002E6FA6" w:rsidRDefault="002E6FA6" w:rsidP="00B361D1">
      <w:pPr>
        <w:rPr>
          <w:rFonts w:ascii="Arial" w:hAnsi="Arial" w:cs="Arial"/>
          <w:sz w:val="22"/>
          <w:szCs w:val="22"/>
        </w:rPr>
      </w:pPr>
    </w:p>
    <w:p w14:paraId="6F51E0CA" w14:textId="53DD9CC4" w:rsidR="002E6FA6" w:rsidRDefault="002E6FA6" w:rsidP="005D2B86">
      <w:pPr>
        <w:ind w:left="720"/>
        <w:rPr>
          <w:rFonts w:ascii="Arial" w:hAnsi="Arial" w:cs="Arial"/>
          <w:sz w:val="22"/>
          <w:szCs w:val="22"/>
        </w:rPr>
      </w:pPr>
      <w:r>
        <w:rPr>
          <w:rFonts w:ascii="Arial" w:hAnsi="Arial" w:cs="Arial"/>
          <w:sz w:val="22"/>
          <w:szCs w:val="22"/>
        </w:rPr>
        <w:t>“</w:t>
      </w:r>
      <w:r w:rsidRPr="002E6FA6">
        <w:rPr>
          <w:rFonts w:ascii="Arial" w:hAnsi="Arial" w:cs="Arial"/>
          <w:i/>
          <w:iCs/>
          <w:sz w:val="22"/>
          <w:szCs w:val="22"/>
        </w:rPr>
        <w:t>The primary purpose of the General Dental Council is to protect patient safety and maintain public confidence in dental services.  To achieve this, we register qualified dental professionals, set standards for the dental team, investigate complaints about dental professionals’ fitness to practice and work to ensure the quality of dental education</w:t>
      </w:r>
      <w:r>
        <w:rPr>
          <w:rFonts w:ascii="Arial" w:hAnsi="Arial" w:cs="Arial"/>
          <w:sz w:val="22"/>
          <w:szCs w:val="22"/>
        </w:rPr>
        <w:t>”</w:t>
      </w:r>
      <w:r>
        <w:rPr>
          <w:rStyle w:val="FootnoteReference"/>
          <w:rFonts w:ascii="Arial" w:hAnsi="Arial" w:cs="Arial"/>
          <w:sz w:val="22"/>
          <w:szCs w:val="22"/>
        </w:rPr>
        <w:footnoteReference w:id="3"/>
      </w:r>
      <w:r>
        <w:rPr>
          <w:rFonts w:ascii="Arial" w:hAnsi="Arial" w:cs="Arial"/>
          <w:sz w:val="22"/>
          <w:szCs w:val="22"/>
        </w:rPr>
        <w:t>.</w:t>
      </w:r>
    </w:p>
    <w:p w14:paraId="77D3DE38" w14:textId="77777777" w:rsidR="005D2B86" w:rsidRDefault="005D2B86" w:rsidP="005D2B86">
      <w:pPr>
        <w:ind w:left="720"/>
        <w:rPr>
          <w:rFonts w:ascii="Arial" w:hAnsi="Arial" w:cs="Arial"/>
          <w:sz w:val="22"/>
          <w:szCs w:val="22"/>
        </w:rPr>
      </w:pPr>
    </w:p>
    <w:p w14:paraId="01DF71FC" w14:textId="4279DD89" w:rsidR="00B361D1" w:rsidRDefault="00B32058" w:rsidP="005D2B86">
      <w:pPr>
        <w:pStyle w:val="Heading4"/>
        <w:spacing w:before="0" w:beforeAutospacing="0" w:after="0" w:afterAutospacing="0"/>
        <w:rPr>
          <w:rFonts w:ascii="Arial" w:hAnsi="Arial" w:cs="Arial"/>
          <w:b w:val="0"/>
          <w:bCs w:val="0"/>
          <w:sz w:val="22"/>
          <w:szCs w:val="22"/>
        </w:rPr>
      </w:pPr>
      <w:r w:rsidRPr="00EF63D8">
        <w:rPr>
          <w:rFonts w:ascii="Arial" w:hAnsi="Arial" w:cs="Arial"/>
          <w:b w:val="0"/>
          <w:bCs w:val="0"/>
          <w:sz w:val="22"/>
          <w:szCs w:val="22"/>
        </w:rPr>
        <w:t xml:space="preserve">In 2005, by way of the </w:t>
      </w:r>
      <w:r w:rsidRPr="00EC2249">
        <w:rPr>
          <w:rFonts w:ascii="Arial" w:eastAsiaTheme="minorHAnsi" w:hAnsi="Arial" w:cs="Arial"/>
          <w:b w:val="0"/>
          <w:bCs w:val="0"/>
          <w:sz w:val="22"/>
          <w:szCs w:val="22"/>
          <w:lang w:eastAsia="en-US"/>
        </w:rPr>
        <w:t>Dentists Act 1984 (Amendment) Order 2005/2011</w:t>
      </w:r>
      <w:r w:rsidRPr="00EF63D8">
        <w:rPr>
          <w:rFonts w:ascii="Source Sans Pro" w:hAnsi="Source Sans Pro"/>
          <w:b w:val="0"/>
          <w:bCs w:val="0"/>
          <w:color w:val="212121"/>
          <w:sz w:val="21"/>
          <w:szCs w:val="21"/>
          <w:shd w:val="clear" w:color="auto" w:fill="FFFFFF"/>
        </w:rPr>
        <w:t xml:space="preserve">, </w:t>
      </w:r>
      <w:r w:rsidR="00EF63D8" w:rsidRPr="00EF63D8">
        <w:rPr>
          <w:rFonts w:ascii="Arial" w:hAnsi="Arial" w:cs="Arial"/>
          <w:b w:val="0"/>
          <w:bCs w:val="0"/>
          <w:sz w:val="22"/>
          <w:szCs w:val="22"/>
        </w:rPr>
        <w:t>additions to Section 36</w:t>
      </w:r>
      <w:r w:rsidR="00EF63D8" w:rsidRPr="00EF63D8">
        <w:rPr>
          <w:rFonts w:ascii="Source Sans Pro" w:hAnsi="Source Sans Pro"/>
          <w:b w:val="0"/>
          <w:bCs w:val="0"/>
          <w:color w:val="212121"/>
          <w:sz w:val="21"/>
          <w:szCs w:val="21"/>
          <w:shd w:val="clear" w:color="auto" w:fill="FFFFFF"/>
        </w:rPr>
        <w:t xml:space="preserve"> </w:t>
      </w:r>
      <w:r w:rsidR="00EF63D8" w:rsidRPr="00EF63D8">
        <w:rPr>
          <w:rFonts w:ascii="Arial" w:eastAsiaTheme="minorHAnsi" w:hAnsi="Arial" w:cs="Arial"/>
          <w:b w:val="0"/>
          <w:bCs w:val="0"/>
          <w:sz w:val="22"/>
          <w:szCs w:val="22"/>
          <w:lang w:eastAsia="en-US"/>
        </w:rPr>
        <w:t>of the Dentists</w:t>
      </w:r>
      <w:r w:rsidR="00EF63D8" w:rsidRPr="00EF63D8">
        <w:rPr>
          <w:rFonts w:ascii="Arial" w:hAnsi="Arial" w:cs="Arial"/>
          <w:b w:val="0"/>
          <w:bCs w:val="0"/>
          <w:sz w:val="22"/>
          <w:szCs w:val="22"/>
        </w:rPr>
        <w:t xml:space="preserve"> Act 1984 defined</w:t>
      </w:r>
      <w:r w:rsidR="009D5213">
        <w:rPr>
          <w:rFonts w:ascii="Arial" w:hAnsi="Arial" w:cs="Arial"/>
          <w:b w:val="0"/>
          <w:bCs w:val="0"/>
          <w:sz w:val="22"/>
          <w:szCs w:val="22"/>
        </w:rPr>
        <w:t xml:space="preserve"> a general group other than “dentists”, called</w:t>
      </w:r>
      <w:r w:rsidR="00EF63D8" w:rsidRPr="00EF63D8">
        <w:rPr>
          <w:rFonts w:ascii="Arial" w:hAnsi="Arial" w:cs="Arial"/>
          <w:b w:val="0"/>
          <w:bCs w:val="0"/>
          <w:sz w:val="22"/>
          <w:szCs w:val="22"/>
        </w:rPr>
        <w:t xml:space="preserve"> </w:t>
      </w:r>
      <w:r w:rsidR="00EF63D8">
        <w:rPr>
          <w:rFonts w:ascii="Arial" w:hAnsi="Arial" w:cs="Arial"/>
          <w:b w:val="0"/>
          <w:bCs w:val="0"/>
          <w:sz w:val="22"/>
          <w:szCs w:val="22"/>
        </w:rPr>
        <w:t>“</w:t>
      </w:r>
      <w:r w:rsidR="00EF63D8" w:rsidRPr="00EF63D8">
        <w:rPr>
          <w:rFonts w:ascii="Arial" w:hAnsi="Arial" w:cs="Arial"/>
          <w:b w:val="0"/>
          <w:bCs w:val="0"/>
          <w:sz w:val="22"/>
          <w:szCs w:val="22"/>
        </w:rPr>
        <w:t>Professions Complementary to Dentistry</w:t>
      </w:r>
      <w:r w:rsidR="00EF63D8">
        <w:rPr>
          <w:rFonts w:ascii="Arial" w:hAnsi="Arial" w:cs="Arial"/>
          <w:b w:val="0"/>
          <w:bCs w:val="0"/>
          <w:sz w:val="22"/>
          <w:szCs w:val="22"/>
        </w:rPr>
        <w:t>”</w:t>
      </w:r>
      <w:r w:rsidR="00EF63D8" w:rsidRPr="00EF63D8">
        <w:rPr>
          <w:rFonts w:ascii="Arial" w:hAnsi="Arial" w:cs="Arial"/>
          <w:b w:val="0"/>
          <w:bCs w:val="0"/>
          <w:sz w:val="22"/>
          <w:szCs w:val="22"/>
        </w:rPr>
        <w:t xml:space="preserve"> and established the requirement for The </w:t>
      </w:r>
      <w:r w:rsidR="00EF63D8">
        <w:rPr>
          <w:rFonts w:ascii="Arial" w:hAnsi="Arial" w:cs="Arial"/>
          <w:b w:val="0"/>
          <w:bCs w:val="0"/>
          <w:sz w:val="22"/>
          <w:szCs w:val="22"/>
        </w:rPr>
        <w:t>D</w:t>
      </w:r>
      <w:r w:rsidR="00EF63D8" w:rsidRPr="00EF63D8">
        <w:rPr>
          <w:rFonts w:ascii="Arial" w:hAnsi="Arial" w:cs="Arial"/>
          <w:b w:val="0"/>
          <w:bCs w:val="0"/>
          <w:sz w:val="22"/>
          <w:szCs w:val="22"/>
        </w:rPr>
        <w:t xml:space="preserve">ental </w:t>
      </w:r>
      <w:r w:rsidR="00EF63D8">
        <w:rPr>
          <w:rFonts w:ascii="Arial" w:hAnsi="Arial" w:cs="Arial"/>
          <w:b w:val="0"/>
          <w:bCs w:val="0"/>
          <w:sz w:val="22"/>
          <w:szCs w:val="22"/>
        </w:rPr>
        <w:t>C</w:t>
      </w:r>
      <w:r w:rsidR="00EF63D8" w:rsidRPr="00EF63D8">
        <w:rPr>
          <w:rFonts w:ascii="Arial" w:hAnsi="Arial" w:cs="Arial"/>
          <w:b w:val="0"/>
          <w:bCs w:val="0"/>
          <w:sz w:val="22"/>
          <w:szCs w:val="22"/>
        </w:rPr>
        <w:t xml:space="preserve">are </w:t>
      </w:r>
      <w:r w:rsidR="00EF63D8">
        <w:rPr>
          <w:rFonts w:ascii="Arial" w:hAnsi="Arial" w:cs="Arial"/>
          <w:b w:val="0"/>
          <w:bCs w:val="0"/>
          <w:sz w:val="22"/>
          <w:szCs w:val="22"/>
        </w:rPr>
        <w:t>P</w:t>
      </w:r>
      <w:r w:rsidR="00EF63D8" w:rsidRPr="00EF63D8">
        <w:rPr>
          <w:rFonts w:ascii="Arial" w:hAnsi="Arial" w:cs="Arial"/>
          <w:b w:val="0"/>
          <w:bCs w:val="0"/>
          <w:sz w:val="22"/>
          <w:szCs w:val="22"/>
        </w:rPr>
        <w:t xml:space="preserve">rofessionals </w:t>
      </w:r>
      <w:r w:rsidR="00EF63D8">
        <w:rPr>
          <w:rFonts w:ascii="Arial" w:hAnsi="Arial" w:cs="Arial"/>
          <w:b w:val="0"/>
          <w:bCs w:val="0"/>
          <w:sz w:val="22"/>
          <w:szCs w:val="22"/>
        </w:rPr>
        <w:t>R</w:t>
      </w:r>
      <w:r w:rsidR="00EF63D8" w:rsidRPr="00EF63D8">
        <w:rPr>
          <w:rFonts w:ascii="Arial" w:hAnsi="Arial" w:cs="Arial"/>
          <w:b w:val="0"/>
          <w:bCs w:val="0"/>
          <w:sz w:val="22"/>
          <w:szCs w:val="22"/>
        </w:rPr>
        <w:t>egister</w:t>
      </w:r>
      <w:r w:rsidR="00EF63D8">
        <w:rPr>
          <w:rFonts w:ascii="Arial" w:hAnsi="Arial" w:cs="Arial"/>
          <w:b w:val="0"/>
          <w:bCs w:val="0"/>
          <w:sz w:val="22"/>
          <w:szCs w:val="22"/>
        </w:rPr>
        <w:t xml:space="preserve"> </w:t>
      </w:r>
      <w:r w:rsidR="009D5213">
        <w:rPr>
          <w:rFonts w:ascii="Arial" w:hAnsi="Arial" w:cs="Arial"/>
          <w:b w:val="0"/>
          <w:bCs w:val="0"/>
          <w:sz w:val="22"/>
          <w:szCs w:val="22"/>
        </w:rPr>
        <w:t xml:space="preserve">together </w:t>
      </w:r>
      <w:r w:rsidR="00EF63D8">
        <w:rPr>
          <w:rFonts w:ascii="Arial" w:hAnsi="Arial" w:cs="Arial"/>
          <w:b w:val="0"/>
          <w:bCs w:val="0"/>
          <w:sz w:val="22"/>
          <w:szCs w:val="22"/>
        </w:rPr>
        <w:t xml:space="preserve">with the general qualifications </w:t>
      </w:r>
      <w:r w:rsidR="00BF2989">
        <w:rPr>
          <w:rFonts w:ascii="Arial" w:hAnsi="Arial" w:cs="Arial"/>
          <w:b w:val="0"/>
          <w:bCs w:val="0"/>
          <w:sz w:val="22"/>
          <w:szCs w:val="22"/>
        </w:rPr>
        <w:t>which an individual is required to possess for registration</w:t>
      </w:r>
      <w:r w:rsidR="009D5213">
        <w:rPr>
          <w:rFonts w:ascii="Arial" w:hAnsi="Arial" w:cs="Arial"/>
          <w:b w:val="0"/>
          <w:bCs w:val="0"/>
          <w:sz w:val="22"/>
          <w:szCs w:val="22"/>
        </w:rPr>
        <w:t xml:space="preserve"> thereon,</w:t>
      </w:r>
      <w:r w:rsidR="00BF2989">
        <w:rPr>
          <w:rFonts w:ascii="Arial" w:hAnsi="Arial" w:cs="Arial"/>
          <w:b w:val="0"/>
          <w:bCs w:val="0"/>
          <w:sz w:val="22"/>
          <w:szCs w:val="22"/>
        </w:rPr>
        <w:t xml:space="preserve"> and associated matters with which the GDC is necessarily concerned.</w:t>
      </w:r>
    </w:p>
    <w:p w14:paraId="5834AA3C" w14:textId="77777777" w:rsidR="005D2B86" w:rsidRPr="005D2B86" w:rsidRDefault="005D2B86" w:rsidP="005D2B86">
      <w:pPr>
        <w:pStyle w:val="Heading4"/>
        <w:spacing w:before="0" w:beforeAutospacing="0" w:after="0" w:afterAutospacing="0"/>
        <w:rPr>
          <w:rFonts w:ascii="Arial" w:hAnsi="Arial" w:cs="Arial"/>
          <w:b w:val="0"/>
          <w:bCs w:val="0"/>
          <w:sz w:val="22"/>
          <w:szCs w:val="22"/>
        </w:rPr>
      </w:pPr>
    </w:p>
    <w:p w14:paraId="48CE5888" w14:textId="5695D3B2" w:rsidR="00D7562E" w:rsidRDefault="00D7562E" w:rsidP="00D7562E">
      <w:pPr>
        <w:rPr>
          <w:rFonts w:ascii="Arial" w:hAnsi="Arial" w:cs="Arial"/>
          <w:sz w:val="22"/>
          <w:szCs w:val="22"/>
        </w:rPr>
      </w:pPr>
      <w:r>
        <w:rPr>
          <w:rFonts w:ascii="Arial" w:hAnsi="Arial" w:cs="Arial"/>
          <w:sz w:val="22"/>
          <w:szCs w:val="22"/>
        </w:rPr>
        <w:t>The categories of Dental Care Professionals</w:t>
      </w:r>
      <w:r w:rsidR="009D5213">
        <w:rPr>
          <w:rFonts w:ascii="Arial" w:hAnsi="Arial" w:cs="Arial"/>
          <w:sz w:val="22"/>
          <w:szCs w:val="22"/>
        </w:rPr>
        <w:t>,</w:t>
      </w:r>
      <w:r>
        <w:rPr>
          <w:rFonts w:ascii="Arial" w:hAnsi="Arial" w:cs="Arial"/>
          <w:sz w:val="22"/>
          <w:szCs w:val="22"/>
        </w:rPr>
        <w:t xml:space="preserve"> all of whom are required to be registered with the GDC</w:t>
      </w:r>
      <w:r w:rsidR="009D5213">
        <w:rPr>
          <w:rFonts w:ascii="Arial" w:hAnsi="Arial" w:cs="Arial"/>
          <w:sz w:val="22"/>
          <w:szCs w:val="22"/>
        </w:rPr>
        <w:t>,</w:t>
      </w:r>
      <w:r>
        <w:rPr>
          <w:rFonts w:ascii="Arial" w:hAnsi="Arial" w:cs="Arial"/>
          <w:sz w:val="22"/>
          <w:szCs w:val="22"/>
        </w:rPr>
        <w:t xml:space="preserve"> now include: </w:t>
      </w:r>
      <w:r w:rsidRPr="00D7562E">
        <w:rPr>
          <w:rFonts w:ascii="Arial" w:hAnsi="Arial" w:cs="Arial"/>
          <w:sz w:val="22"/>
          <w:szCs w:val="22"/>
        </w:rPr>
        <w:t>dental nurse, dental technician, dental therapist, dental hygienist, orthodontic therapist and clinical dental technician</w:t>
      </w:r>
      <w:r>
        <w:rPr>
          <w:rStyle w:val="FootnoteReference"/>
          <w:rFonts w:ascii="Arial" w:hAnsi="Arial" w:cs="Arial"/>
          <w:sz w:val="22"/>
          <w:szCs w:val="22"/>
        </w:rPr>
        <w:footnoteReference w:id="4"/>
      </w:r>
      <w:r>
        <w:rPr>
          <w:rFonts w:ascii="Arial" w:hAnsi="Arial" w:cs="Arial"/>
          <w:sz w:val="22"/>
          <w:szCs w:val="22"/>
        </w:rPr>
        <w:t xml:space="preserve">.  </w:t>
      </w:r>
      <w:r w:rsidR="00751B68">
        <w:rPr>
          <w:rFonts w:ascii="Arial" w:hAnsi="Arial" w:cs="Arial"/>
          <w:sz w:val="22"/>
          <w:szCs w:val="22"/>
        </w:rPr>
        <w:t>The GDC publishes guidance upon the “</w:t>
      </w:r>
      <w:r w:rsidR="00EF0D60">
        <w:rPr>
          <w:rFonts w:ascii="Arial" w:hAnsi="Arial" w:cs="Arial"/>
          <w:sz w:val="22"/>
          <w:szCs w:val="22"/>
        </w:rPr>
        <w:t>Scope of Practice” of each registrant group</w:t>
      </w:r>
      <w:r w:rsidR="00EF0D60">
        <w:rPr>
          <w:rStyle w:val="FootnoteReference"/>
          <w:rFonts w:ascii="Arial" w:hAnsi="Arial" w:cs="Arial"/>
          <w:sz w:val="22"/>
          <w:szCs w:val="22"/>
        </w:rPr>
        <w:footnoteReference w:id="5"/>
      </w:r>
      <w:r w:rsidR="00EF0D60">
        <w:rPr>
          <w:rFonts w:ascii="Arial" w:hAnsi="Arial" w:cs="Arial"/>
          <w:sz w:val="22"/>
          <w:szCs w:val="22"/>
        </w:rPr>
        <w:t xml:space="preserve">, based upon the skills and abilities each group should possess, in line with the GDC’s “core” functions of protection of patients and maintenance of </w:t>
      </w:r>
      <w:r w:rsidR="004B6787">
        <w:rPr>
          <w:rFonts w:ascii="Arial" w:hAnsi="Arial" w:cs="Arial"/>
          <w:sz w:val="22"/>
          <w:szCs w:val="22"/>
        </w:rPr>
        <w:t>public confidence in dental services.  In addition, the GDC publishes a set of “Standards for the Dental Team”</w:t>
      </w:r>
      <w:r w:rsidR="00D67E3E">
        <w:rPr>
          <w:rStyle w:val="FootnoteReference"/>
          <w:rFonts w:ascii="Arial" w:hAnsi="Arial" w:cs="Arial"/>
          <w:sz w:val="22"/>
          <w:szCs w:val="22"/>
        </w:rPr>
        <w:footnoteReference w:id="6"/>
      </w:r>
      <w:r w:rsidR="004B6787">
        <w:rPr>
          <w:rFonts w:ascii="Arial" w:hAnsi="Arial" w:cs="Arial"/>
          <w:sz w:val="22"/>
          <w:szCs w:val="22"/>
        </w:rPr>
        <w:t xml:space="preserve"> and it is a mandatory requirement for</w:t>
      </w:r>
      <w:r w:rsidR="009D5213">
        <w:rPr>
          <w:rFonts w:ascii="Arial" w:hAnsi="Arial" w:cs="Arial"/>
          <w:sz w:val="22"/>
          <w:szCs w:val="22"/>
        </w:rPr>
        <w:t xml:space="preserve"> all</w:t>
      </w:r>
      <w:r w:rsidR="004B6787">
        <w:rPr>
          <w:rFonts w:ascii="Arial" w:hAnsi="Arial" w:cs="Arial"/>
          <w:sz w:val="22"/>
          <w:szCs w:val="22"/>
        </w:rPr>
        <w:t xml:space="preserve"> registrants to practice </w:t>
      </w:r>
      <w:r w:rsidR="009D5213">
        <w:rPr>
          <w:rFonts w:ascii="Arial" w:hAnsi="Arial" w:cs="Arial"/>
          <w:sz w:val="22"/>
          <w:szCs w:val="22"/>
        </w:rPr>
        <w:t xml:space="preserve">and generally behave </w:t>
      </w:r>
      <w:r w:rsidR="004B6787">
        <w:rPr>
          <w:rFonts w:ascii="Arial" w:hAnsi="Arial" w:cs="Arial"/>
          <w:sz w:val="22"/>
          <w:szCs w:val="22"/>
        </w:rPr>
        <w:t>in accordance with these Standards.</w:t>
      </w:r>
    </w:p>
    <w:p w14:paraId="4CE73F7C" w14:textId="5E7B607F" w:rsidR="009D5213" w:rsidRDefault="009D5213" w:rsidP="00D7562E">
      <w:pPr>
        <w:rPr>
          <w:rFonts w:ascii="Arial" w:hAnsi="Arial" w:cs="Arial"/>
          <w:sz w:val="22"/>
          <w:szCs w:val="22"/>
        </w:rPr>
      </w:pPr>
    </w:p>
    <w:p w14:paraId="3E31C9EB" w14:textId="2BC94493" w:rsidR="009D5213" w:rsidRPr="009D5213" w:rsidRDefault="009D5213" w:rsidP="00D7562E">
      <w:pPr>
        <w:rPr>
          <w:rFonts w:ascii="Arial" w:eastAsia="Times New Roman" w:hAnsi="Arial" w:cs="Arial"/>
          <w:color w:val="212121"/>
          <w:sz w:val="22"/>
          <w:szCs w:val="22"/>
          <w:lang w:eastAsia="en-GB"/>
        </w:rPr>
      </w:pPr>
      <w:r>
        <w:rPr>
          <w:rFonts w:ascii="Arial" w:eastAsia="Times New Roman" w:hAnsi="Arial" w:cs="Arial"/>
          <w:color w:val="212121"/>
          <w:sz w:val="22"/>
          <w:szCs w:val="22"/>
          <w:lang w:eastAsia="en-GB"/>
        </w:rPr>
        <w:t>The Scope of Practice and broad description of the work of a dental technician as per the GDC Scope of Practice document is given in Box 1.</w:t>
      </w:r>
    </w:p>
    <w:p w14:paraId="2F2B9633" w14:textId="77777777" w:rsidR="00B16DFF" w:rsidRDefault="00B16DFF" w:rsidP="00AA1A8A">
      <w:pPr>
        <w:rPr>
          <w:rFonts w:ascii="Arial" w:hAnsi="Arial" w:cs="Arial"/>
          <w:sz w:val="22"/>
          <w:szCs w:val="22"/>
        </w:rPr>
      </w:pPr>
    </w:p>
    <w:p w14:paraId="76EBCBF0" w14:textId="0AB28C8E" w:rsidR="00AA1A8A" w:rsidRDefault="00AA1A8A" w:rsidP="00AA1A8A">
      <w:pPr>
        <w:rPr>
          <w:rFonts w:ascii="Arial" w:eastAsia="Times New Roman" w:hAnsi="Arial" w:cs="Arial"/>
          <w:color w:val="212121"/>
          <w:sz w:val="22"/>
          <w:szCs w:val="22"/>
          <w:lang w:eastAsia="en-GB"/>
        </w:rPr>
      </w:pPr>
      <w:r w:rsidRPr="00687BE1">
        <w:rPr>
          <w:rFonts w:ascii="Arial" w:eastAsia="Times New Roman" w:hAnsi="Arial" w:cs="Arial"/>
          <w:color w:val="212121"/>
          <w:sz w:val="22"/>
          <w:szCs w:val="22"/>
          <w:lang w:eastAsia="en-GB"/>
        </w:rPr>
        <w:t xml:space="preserve">As at </w:t>
      </w:r>
      <w:r w:rsidR="00E055B9" w:rsidRPr="00687BE1">
        <w:rPr>
          <w:rFonts w:ascii="Arial" w:eastAsia="Times New Roman" w:hAnsi="Arial" w:cs="Arial"/>
          <w:color w:val="212121"/>
          <w:sz w:val="22"/>
          <w:szCs w:val="22"/>
          <w:lang w:eastAsia="en-GB"/>
        </w:rPr>
        <w:t xml:space="preserve">December 2019, there were 5762 individuals registered as </w:t>
      </w:r>
      <w:r w:rsidR="00D7562E">
        <w:rPr>
          <w:rFonts w:ascii="Arial" w:eastAsia="Times New Roman" w:hAnsi="Arial" w:cs="Arial"/>
          <w:color w:val="212121"/>
          <w:sz w:val="22"/>
          <w:szCs w:val="22"/>
          <w:lang w:eastAsia="en-GB"/>
        </w:rPr>
        <w:t>“D</w:t>
      </w:r>
      <w:r w:rsidR="00E055B9" w:rsidRPr="00687BE1">
        <w:rPr>
          <w:rFonts w:ascii="Arial" w:eastAsia="Times New Roman" w:hAnsi="Arial" w:cs="Arial"/>
          <w:color w:val="212121"/>
          <w:sz w:val="22"/>
          <w:szCs w:val="22"/>
          <w:lang w:eastAsia="en-GB"/>
        </w:rPr>
        <w:t xml:space="preserve">ental </w:t>
      </w:r>
      <w:r w:rsidR="00D7562E">
        <w:rPr>
          <w:rFonts w:ascii="Arial" w:eastAsia="Times New Roman" w:hAnsi="Arial" w:cs="Arial"/>
          <w:color w:val="212121"/>
          <w:sz w:val="22"/>
          <w:szCs w:val="22"/>
          <w:lang w:eastAsia="en-GB"/>
        </w:rPr>
        <w:t>T</w:t>
      </w:r>
      <w:r w:rsidR="00E055B9" w:rsidRPr="00687BE1">
        <w:rPr>
          <w:rFonts w:ascii="Arial" w:eastAsia="Times New Roman" w:hAnsi="Arial" w:cs="Arial"/>
          <w:color w:val="212121"/>
          <w:sz w:val="22"/>
          <w:szCs w:val="22"/>
          <w:lang w:eastAsia="en-GB"/>
        </w:rPr>
        <w:t>echnician</w:t>
      </w:r>
      <w:r w:rsidR="00D7562E">
        <w:rPr>
          <w:rFonts w:ascii="Arial" w:eastAsia="Times New Roman" w:hAnsi="Arial" w:cs="Arial"/>
          <w:color w:val="212121"/>
          <w:sz w:val="22"/>
          <w:szCs w:val="22"/>
          <w:lang w:eastAsia="en-GB"/>
        </w:rPr>
        <w:t>”</w:t>
      </w:r>
      <w:r w:rsidR="00E055B9" w:rsidRPr="00687BE1">
        <w:rPr>
          <w:rFonts w:ascii="Arial" w:eastAsia="Times New Roman" w:hAnsi="Arial" w:cs="Arial"/>
          <w:color w:val="212121"/>
          <w:sz w:val="22"/>
          <w:szCs w:val="22"/>
          <w:lang w:eastAsia="en-GB"/>
        </w:rPr>
        <w:t xml:space="preserve"> by the GDC (344 of these were also registered as Clinical Dental </w:t>
      </w:r>
      <w:r w:rsidR="00D7562E">
        <w:rPr>
          <w:rFonts w:ascii="Arial" w:eastAsia="Times New Roman" w:hAnsi="Arial" w:cs="Arial"/>
          <w:color w:val="212121"/>
          <w:sz w:val="22"/>
          <w:szCs w:val="22"/>
          <w:lang w:eastAsia="en-GB"/>
        </w:rPr>
        <w:t>T</w:t>
      </w:r>
      <w:r w:rsidR="00E055B9" w:rsidRPr="00687BE1">
        <w:rPr>
          <w:rFonts w:ascii="Arial" w:eastAsia="Times New Roman" w:hAnsi="Arial" w:cs="Arial"/>
          <w:color w:val="212121"/>
          <w:sz w:val="22"/>
          <w:szCs w:val="22"/>
          <w:lang w:eastAsia="en-GB"/>
        </w:rPr>
        <w:t>echnicians)</w:t>
      </w:r>
      <w:r w:rsidR="00E055B9" w:rsidRPr="00687BE1">
        <w:rPr>
          <w:rStyle w:val="FootnoteReference"/>
          <w:rFonts w:ascii="Arial" w:eastAsia="Times New Roman" w:hAnsi="Arial" w:cs="Arial"/>
          <w:color w:val="212121"/>
          <w:sz w:val="22"/>
          <w:szCs w:val="22"/>
          <w:lang w:eastAsia="en-GB"/>
        </w:rPr>
        <w:footnoteReference w:id="7"/>
      </w:r>
      <w:r w:rsidR="00E055B9" w:rsidRPr="00687BE1">
        <w:rPr>
          <w:rFonts w:ascii="Arial" w:eastAsia="Times New Roman" w:hAnsi="Arial" w:cs="Arial"/>
          <w:color w:val="212121"/>
          <w:sz w:val="22"/>
          <w:szCs w:val="22"/>
          <w:lang w:eastAsia="en-GB"/>
        </w:rPr>
        <w:t xml:space="preserve">.  </w:t>
      </w:r>
      <w:r w:rsidR="00B16DFF">
        <w:rPr>
          <w:rFonts w:ascii="Arial" w:eastAsia="Times New Roman" w:hAnsi="Arial" w:cs="Arial"/>
          <w:color w:val="212121"/>
          <w:sz w:val="22"/>
          <w:szCs w:val="22"/>
          <w:lang w:eastAsia="en-GB"/>
        </w:rPr>
        <w:t xml:space="preserve">For </w:t>
      </w:r>
      <w:r w:rsidR="009D5213">
        <w:rPr>
          <w:rFonts w:ascii="Arial" w:eastAsia="Times New Roman" w:hAnsi="Arial" w:cs="Arial"/>
          <w:color w:val="212121"/>
          <w:sz w:val="22"/>
          <w:szCs w:val="22"/>
          <w:lang w:eastAsia="en-GB"/>
        </w:rPr>
        <w:t xml:space="preserve">comparative </w:t>
      </w:r>
      <w:r w:rsidR="00B16DFF">
        <w:rPr>
          <w:rFonts w:ascii="Arial" w:eastAsia="Times New Roman" w:hAnsi="Arial" w:cs="Arial"/>
          <w:color w:val="212121"/>
          <w:sz w:val="22"/>
          <w:szCs w:val="22"/>
          <w:lang w:eastAsia="en-GB"/>
        </w:rPr>
        <w:t xml:space="preserve">purposes as to numbers of registrants, </w:t>
      </w:r>
      <w:r w:rsidR="00E055B9" w:rsidRPr="00687BE1">
        <w:rPr>
          <w:rFonts w:ascii="Arial" w:eastAsia="Times New Roman" w:hAnsi="Arial" w:cs="Arial"/>
          <w:color w:val="212121"/>
          <w:sz w:val="22"/>
          <w:szCs w:val="22"/>
          <w:lang w:eastAsia="en-GB"/>
        </w:rPr>
        <w:t xml:space="preserve">42426 individuals </w:t>
      </w:r>
      <w:r w:rsidR="009D5213">
        <w:rPr>
          <w:rFonts w:ascii="Arial" w:eastAsia="Times New Roman" w:hAnsi="Arial" w:cs="Arial"/>
          <w:color w:val="212121"/>
          <w:sz w:val="22"/>
          <w:szCs w:val="22"/>
          <w:lang w:eastAsia="en-GB"/>
        </w:rPr>
        <w:t>were r</w:t>
      </w:r>
      <w:r w:rsidR="00E055B9" w:rsidRPr="00687BE1">
        <w:rPr>
          <w:rFonts w:ascii="Arial" w:eastAsia="Times New Roman" w:hAnsi="Arial" w:cs="Arial"/>
          <w:color w:val="212121"/>
          <w:sz w:val="22"/>
          <w:szCs w:val="22"/>
          <w:lang w:eastAsia="en-GB"/>
        </w:rPr>
        <w:t>egistered as dentists</w:t>
      </w:r>
      <w:r w:rsidR="00166FCB" w:rsidRPr="00687BE1">
        <w:rPr>
          <w:rFonts w:ascii="Arial" w:eastAsia="Times New Roman" w:hAnsi="Arial" w:cs="Arial"/>
          <w:color w:val="212121"/>
          <w:sz w:val="22"/>
          <w:szCs w:val="22"/>
          <w:lang w:eastAsia="en-GB"/>
        </w:rPr>
        <w:t xml:space="preserve"> and 58652 as dental nurses</w:t>
      </w:r>
      <w:r w:rsidR="00B16DFF">
        <w:rPr>
          <w:rFonts w:ascii="Arial" w:eastAsia="Times New Roman" w:hAnsi="Arial" w:cs="Arial"/>
          <w:color w:val="212121"/>
          <w:sz w:val="22"/>
          <w:szCs w:val="22"/>
          <w:lang w:eastAsia="en-GB"/>
        </w:rPr>
        <w:t xml:space="preserve"> (the two largest registrant categories)</w:t>
      </w:r>
      <w:r w:rsidR="00166FCB" w:rsidRPr="00687BE1">
        <w:rPr>
          <w:rFonts w:ascii="Arial" w:eastAsia="Times New Roman" w:hAnsi="Arial" w:cs="Arial"/>
          <w:color w:val="212121"/>
          <w:sz w:val="22"/>
          <w:szCs w:val="22"/>
          <w:lang w:eastAsia="en-GB"/>
        </w:rPr>
        <w:t>.</w:t>
      </w:r>
      <w:r w:rsidR="00B16DFF">
        <w:rPr>
          <w:rFonts w:ascii="Arial" w:eastAsia="Times New Roman" w:hAnsi="Arial" w:cs="Arial"/>
          <w:color w:val="212121"/>
          <w:sz w:val="22"/>
          <w:szCs w:val="22"/>
          <w:lang w:eastAsia="en-GB"/>
        </w:rPr>
        <w:t xml:space="preserve">  </w:t>
      </w:r>
    </w:p>
    <w:p w14:paraId="7EC6CB25" w14:textId="02E3BA11" w:rsidR="00E70008" w:rsidRDefault="00E70008" w:rsidP="00AA1A8A">
      <w:pPr>
        <w:rPr>
          <w:rFonts w:ascii="Arial" w:eastAsia="Times New Roman" w:hAnsi="Arial" w:cs="Arial"/>
          <w:color w:val="212121"/>
          <w:sz w:val="22"/>
          <w:szCs w:val="22"/>
          <w:lang w:eastAsia="en-GB"/>
        </w:rPr>
      </w:pPr>
    </w:p>
    <w:p w14:paraId="5C1D9CE1" w14:textId="77777777" w:rsidR="00E70008" w:rsidRDefault="00E70008" w:rsidP="00E70008">
      <w:pPr>
        <w:rPr>
          <w:rFonts w:ascii="Arial" w:eastAsia="Times New Roman" w:hAnsi="Arial" w:cs="Arial"/>
          <w:color w:val="212121"/>
          <w:sz w:val="22"/>
          <w:szCs w:val="22"/>
          <w:lang w:eastAsia="en-GB"/>
        </w:rPr>
      </w:pPr>
      <w:r>
        <w:rPr>
          <w:rFonts w:ascii="Arial" w:eastAsia="Times New Roman" w:hAnsi="Arial" w:cs="Arial"/>
          <w:color w:val="212121"/>
          <w:sz w:val="22"/>
          <w:szCs w:val="22"/>
          <w:lang w:eastAsia="en-GB"/>
        </w:rPr>
        <w:t xml:space="preserve">It is evident that whilst Dental Technicians, (as distinct from Clinical Dental Technicians) may have legitimate direct contact with patients within their recognised scope of practice, such contact is likely to be significantly less than the contact which other registrant categories have with patients.  A major part of the work of Dental Technicians is laboratory-based.  Nevertheless, unless a dental technician is registered with the GDC, they cannot work in their own role without breaking the law. Inability to work for other than a very limited period, is very likely to have a negative financial impact upon a dental technician and may potentially result in them leaving the profession altogether. As it is, there were fewer registered dental technicians in December 2019 than in December 2018 (5762/5921).   </w:t>
      </w:r>
    </w:p>
    <w:p w14:paraId="771842F8" w14:textId="77777777" w:rsidR="00E70008" w:rsidRDefault="00E70008" w:rsidP="00E70008">
      <w:pPr>
        <w:rPr>
          <w:rFonts w:ascii="Arial" w:eastAsia="Times New Roman" w:hAnsi="Arial" w:cs="Arial"/>
          <w:color w:val="212121"/>
          <w:sz w:val="22"/>
          <w:szCs w:val="22"/>
          <w:lang w:eastAsia="en-GB"/>
        </w:rPr>
      </w:pPr>
    </w:p>
    <w:p w14:paraId="78CE1F1F" w14:textId="77777777" w:rsidR="00E70008" w:rsidRDefault="00E70008" w:rsidP="00E70008">
      <w:pPr>
        <w:rPr>
          <w:rFonts w:ascii="Arial" w:eastAsia="Times New Roman" w:hAnsi="Arial" w:cs="Arial"/>
          <w:color w:val="212121"/>
          <w:sz w:val="22"/>
          <w:szCs w:val="22"/>
          <w:lang w:eastAsia="en-GB"/>
        </w:rPr>
      </w:pPr>
      <w:r>
        <w:rPr>
          <w:rFonts w:ascii="Arial" w:eastAsia="Times New Roman" w:hAnsi="Arial" w:cs="Arial"/>
          <w:color w:val="212121"/>
          <w:sz w:val="22"/>
          <w:szCs w:val="22"/>
          <w:lang w:eastAsia="en-GB"/>
        </w:rPr>
        <w:t>The purpose of this paper is to identify and discuss themes emerging from published recent Fitness to Practise hearing outcomes specifically involving registered Dental Technicians.</w:t>
      </w:r>
    </w:p>
    <w:p w14:paraId="7565C403" w14:textId="28E5E22C" w:rsidR="00E70008" w:rsidRDefault="00E70008" w:rsidP="00AA1A8A">
      <w:pPr>
        <w:rPr>
          <w:rFonts w:ascii="Arial" w:eastAsia="Times New Roman" w:hAnsi="Arial" w:cs="Arial"/>
          <w:color w:val="212121"/>
          <w:sz w:val="22"/>
          <w:szCs w:val="22"/>
          <w:lang w:eastAsia="en-GB"/>
        </w:rPr>
      </w:pPr>
    </w:p>
    <w:p w14:paraId="77304685" w14:textId="5D3BDD6D" w:rsidR="00B16DFF" w:rsidRDefault="00E70008" w:rsidP="00AA1A8A">
      <w:pPr>
        <w:rPr>
          <w:rFonts w:ascii="Arial" w:eastAsia="Times New Roman" w:hAnsi="Arial" w:cs="Arial"/>
          <w:color w:val="212121"/>
          <w:sz w:val="22"/>
          <w:szCs w:val="22"/>
          <w:lang w:eastAsia="en-GB"/>
        </w:rPr>
      </w:pPr>
      <w:r>
        <w:rPr>
          <w:rFonts w:ascii="Arial" w:eastAsia="Times New Roman" w:hAnsi="Arial" w:cs="Arial"/>
          <w:color w:val="212121"/>
          <w:sz w:val="22"/>
          <w:szCs w:val="22"/>
          <w:lang w:eastAsia="en-GB"/>
        </w:rPr>
        <w:br w:type="page"/>
      </w:r>
    </w:p>
    <w:p w14:paraId="21A097B1" w14:textId="77777777" w:rsidR="00B16DFF" w:rsidRDefault="00B16DFF" w:rsidP="00AA1A8A">
      <w:pPr>
        <w:rPr>
          <w:rFonts w:ascii="Arial" w:eastAsia="Times New Roman" w:hAnsi="Arial" w:cs="Arial"/>
          <w:color w:val="212121"/>
          <w:sz w:val="22"/>
          <w:szCs w:val="22"/>
          <w:lang w:eastAsia="en-GB"/>
        </w:rPr>
      </w:pPr>
    </w:p>
    <w:p w14:paraId="30E3A2AA" w14:textId="0DE2CF59" w:rsidR="00B16DFF" w:rsidRPr="005D2B86" w:rsidRDefault="00B16DFF" w:rsidP="00AA1A8A">
      <w:pPr>
        <w:rPr>
          <w:rFonts w:ascii="Arial" w:eastAsia="Times New Roman" w:hAnsi="Arial" w:cs="Arial"/>
          <w:color w:val="212121"/>
          <w:sz w:val="22"/>
          <w:szCs w:val="22"/>
          <w:u w:val="single"/>
          <w:lang w:eastAsia="en-GB"/>
        </w:rPr>
      </w:pPr>
      <w:r w:rsidRPr="005D2B86">
        <w:rPr>
          <w:rFonts w:ascii="Arial" w:eastAsia="Times New Roman" w:hAnsi="Arial" w:cs="Arial"/>
          <w:color w:val="212121"/>
          <w:sz w:val="22"/>
          <w:szCs w:val="22"/>
          <w:u w:val="single"/>
          <w:lang w:eastAsia="en-GB"/>
        </w:rPr>
        <w:t>Box 1 – Scope of Practice of registered Dental Technicians</w:t>
      </w:r>
    </w:p>
    <w:p w14:paraId="617B6FAD" w14:textId="77777777" w:rsidR="00B16DFF" w:rsidRDefault="00B16DFF" w:rsidP="00B16DFF">
      <w:pPr>
        <w:pStyle w:val="NormalWeb"/>
        <w:pBdr>
          <w:top w:val="single" w:sz="4" w:space="1" w:color="auto"/>
          <w:left w:val="single" w:sz="4" w:space="4" w:color="auto"/>
          <w:bottom w:val="single" w:sz="4" w:space="1" w:color="auto"/>
          <w:right w:val="single" w:sz="4" w:space="4" w:color="auto"/>
        </w:pBdr>
      </w:pPr>
      <w:r>
        <w:rPr>
          <w:rFonts w:ascii="HelveticaNeueLT" w:hAnsi="HelveticaNeueLT"/>
          <w:b/>
          <w:bCs/>
          <w:color w:val="443D3D"/>
          <w:sz w:val="28"/>
          <w:szCs w:val="28"/>
        </w:rPr>
        <w:t xml:space="preserve">Dental technicians </w:t>
      </w:r>
    </w:p>
    <w:p w14:paraId="57781C3C" w14:textId="77777777" w:rsidR="00B16DFF"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sz w:val="22"/>
          <w:szCs w:val="22"/>
        </w:rPr>
        <w:t xml:space="preserve">Dental technicians are registered dental professionals who make dental devices to a prescription from a dentist or clinical dental technician. They also repair dentures direct to members of the public. </w:t>
      </w:r>
    </w:p>
    <w:p w14:paraId="35E00237" w14:textId="77777777" w:rsidR="00B16DFF"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sz w:val="22"/>
          <w:szCs w:val="22"/>
        </w:rPr>
        <w:t xml:space="preserve">As a dental technician, you can undertake the following if you are trained, competent and indemnified: </w:t>
      </w:r>
    </w:p>
    <w:p w14:paraId="6DC1B857" w14:textId="77777777" w:rsidR="00B16DFF" w:rsidRPr="00E1301A" w:rsidRDefault="00B16DF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 xml:space="preserve">review cases coming into the laboratory to decide how they should be progressed </w:t>
      </w:r>
    </w:p>
    <w:p w14:paraId="3BC9E2EF" w14:textId="77777777" w:rsidR="00B16DFF" w:rsidRPr="00E1301A" w:rsidRDefault="00B16DF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 xml:space="preserve">work with the dentist or clinical dental technician on treatment planning and outline design </w:t>
      </w:r>
    </w:p>
    <w:p w14:paraId="602800C0" w14:textId="77777777" w:rsidR="007B525F" w:rsidRPr="00E1301A" w:rsidRDefault="00B16DF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give appropriate patient advice</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 xml:space="preserve">design, plan and make a range of custom-made dental devices according to a </w:t>
      </w:r>
      <w:r w:rsidR="007B525F" w:rsidRPr="00E1301A">
        <w:rPr>
          <w:rFonts w:ascii="Arial" w:hAnsi="Arial" w:cs="Arial"/>
          <w:sz w:val="22"/>
          <w:szCs w:val="22"/>
        </w:rPr>
        <w:t xml:space="preserve">  </w:t>
      </w:r>
      <w:r w:rsidRPr="00E1301A">
        <w:rPr>
          <w:rFonts w:ascii="Arial" w:hAnsi="Arial" w:cs="Arial"/>
          <w:sz w:val="22"/>
          <w:szCs w:val="22"/>
        </w:rPr>
        <w:t>prescription</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modify dental devices including dentures, orthodontic appliances, crowns and bridges according to a prescription</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carry out shade taking</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 xml:space="preserve">carry out infection prevention and control procedures to prevent physical, chemical and microbiological contamination in the laboratory </w:t>
      </w:r>
    </w:p>
    <w:p w14:paraId="6B740AEB" w14:textId="4331A6FC" w:rsidR="007B525F" w:rsidRPr="00E1301A" w:rsidRDefault="007B525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00B16DFF" w:rsidRPr="00E1301A">
        <w:rPr>
          <w:rFonts w:ascii="Arial" w:hAnsi="Arial" w:cs="Arial"/>
          <w:color w:val="443D3D"/>
          <w:sz w:val="22"/>
          <w:szCs w:val="22"/>
        </w:rPr>
        <w:t>keep</w:t>
      </w:r>
      <w:r w:rsidR="00B16DFF" w:rsidRPr="00E1301A">
        <w:rPr>
          <w:rFonts w:ascii="Arial" w:hAnsi="Arial" w:cs="Arial"/>
          <w:sz w:val="22"/>
          <w:szCs w:val="22"/>
        </w:rPr>
        <w:t xml:space="preserve"> full and accurate laboratory records</w:t>
      </w:r>
    </w:p>
    <w:p w14:paraId="310D73DD" w14:textId="5B76EACC" w:rsidR="007B525F" w:rsidRPr="00E1301A" w:rsidRDefault="00B16DFF" w:rsidP="00DA53F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verify and take responsibility for the quality and safety of devices leaving a laboratory</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 xml:space="preserve">make appropriate referrals to other healthcare professionals </w:t>
      </w:r>
    </w:p>
    <w:p w14:paraId="37702B8B" w14:textId="57319F26" w:rsidR="00753626"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sz w:val="22"/>
          <w:szCs w:val="22"/>
        </w:rPr>
        <w:t xml:space="preserve">Dental technicians can see patients direct to repair dentures. </w:t>
      </w:r>
    </w:p>
    <w:p w14:paraId="0679E122" w14:textId="77777777" w:rsidR="00B16DFF"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b/>
          <w:bCs/>
          <w:sz w:val="22"/>
          <w:szCs w:val="22"/>
        </w:rPr>
        <w:t xml:space="preserve">Additional skills </w:t>
      </w:r>
      <w:r w:rsidRPr="00E1301A">
        <w:rPr>
          <w:rFonts w:ascii="Arial" w:hAnsi="Arial" w:cs="Arial"/>
          <w:sz w:val="22"/>
          <w:szCs w:val="22"/>
        </w:rPr>
        <w:t xml:space="preserve">which dental technicians could develop include: </w:t>
      </w:r>
    </w:p>
    <w:p w14:paraId="42691506" w14:textId="77777777" w:rsidR="007B525F" w:rsidRPr="00E1301A" w:rsidRDefault="00B16DF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 xml:space="preserve">Working with a dentist in the clinic, assisting with treatment by helping to fit attachments at chairside. </w:t>
      </w:r>
    </w:p>
    <w:p w14:paraId="04DBDB75" w14:textId="54586477" w:rsidR="00B16DFF" w:rsidRPr="00E1301A" w:rsidRDefault="007B525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00B16DFF" w:rsidRPr="00E1301A">
        <w:rPr>
          <w:rFonts w:ascii="Arial" w:hAnsi="Arial" w:cs="Arial"/>
          <w:sz w:val="22"/>
          <w:szCs w:val="22"/>
        </w:rPr>
        <w:t xml:space="preserve">Working with a dentist or a clinical dental technician in the clinic, assisting with treatment by: </w:t>
      </w:r>
    </w:p>
    <w:p w14:paraId="41EA4B45" w14:textId="02073FDE" w:rsidR="007B525F" w:rsidRPr="00E1301A" w:rsidRDefault="007B525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ab/>
      </w:r>
      <w:r w:rsidR="00E1301A" w:rsidRPr="00E1301A">
        <w:rPr>
          <w:rFonts w:ascii="Arial" w:hAnsi="Arial" w:cs="Arial"/>
          <w:color w:val="443D3D"/>
          <w:sz w:val="22"/>
          <w:szCs w:val="22"/>
        </w:rPr>
        <w:t xml:space="preserve">• </w:t>
      </w:r>
      <w:r w:rsidR="00B16DFF" w:rsidRPr="00E1301A">
        <w:rPr>
          <w:rFonts w:ascii="Arial" w:hAnsi="Arial" w:cs="Arial"/>
          <w:sz w:val="22"/>
          <w:szCs w:val="22"/>
        </w:rPr>
        <w:t>taking impressions</w:t>
      </w:r>
    </w:p>
    <w:p w14:paraId="122CD32C" w14:textId="6B29EA55" w:rsidR="007B525F" w:rsidRPr="00E1301A" w:rsidRDefault="007B525F" w:rsidP="007B525F">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ab/>
      </w:r>
      <w:r w:rsidR="00E1301A" w:rsidRPr="00E1301A">
        <w:rPr>
          <w:rFonts w:ascii="Arial" w:hAnsi="Arial" w:cs="Arial"/>
          <w:color w:val="443D3D"/>
          <w:sz w:val="22"/>
          <w:szCs w:val="22"/>
        </w:rPr>
        <w:t xml:space="preserve">• </w:t>
      </w:r>
      <w:r w:rsidR="00B16DFF" w:rsidRPr="00E1301A">
        <w:rPr>
          <w:rFonts w:ascii="Arial" w:hAnsi="Arial" w:cs="Arial"/>
          <w:sz w:val="22"/>
          <w:szCs w:val="22"/>
        </w:rPr>
        <w:t>recording facebows</w:t>
      </w:r>
    </w:p>
    <w:p w14:paraId="404822C1" w14:textId="77777777" w:rsidR="00753626" w:rsidRDefault="007B525F"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ab/>
      </w:r>
      <w:r w:rsidR="00E1301A" w:rsidRPr="00E1301A">
        <w:rPr>
          <w:rFonts w:ascii="Arial" w:hAnsi="Arial" w:cs="Arial"/>
          <w:color w:val="443D3D"/>
          <w:sz w:val="22"/>
          <w:szCs w:val="22"/>
        </w:rPr>
        <w:t xml:space="preserve">• </w:t>
      </w:r>
      <w:r w:rsidR="00B16DFF" w:rsidRPr="00E1301A">
        <w:rPr>
          <w:rFonts w:ascii="Arial" w:hAnsi="Arial" w:cs="Arial"/>
          <w:sz w:val="22"/>
          <w:szCs w:val="22"/>
        </w:rPr>
        <w:t>carrying out intra-oral and extra-oral tracing</w:t>
      </w:r>
      <w:r w:rsidR="00B16DFF" w:rsidRPr="00E1301A">
        <w:rPr>
          <w:rFonts w:ascii="Arial" w:hAnsi="Arial" w:cs="Arial"/>
          <w:sz w:val="22"/>
          <w:szCs w:val="22"/>
        </w:rPr>
        <w:br/>
      </w:r>
      <w:r w:rsidR="00B16DFF" w:rsidRPr="00E1301A">
        <w:rPr>
          <w:rFonts w:ascii="Arial" w:hAnsi="Arial" w:cs="Arial"/>
          <w:color w:val="443D3D"/>
          <w:sz w:val="22"/>
          <w:szCs w:val="22"/>
        </w:rPr>
        <w:t xml:space="preserve">• </w:t>
      </w:r>
      <w:r w:rsidR="00B16DFF" w:rsidRPr="00E1301A">
        <w:rPr>
          <w:rFonts w:ascii="Arial" w:hAnsi="Arial" w:cs="Arial"/>
          <w:sz w:val="22"/>
          <w:szCs w:val="22"/>
        </w:rPr>
        <w:t xml:space="preserve">carrying out implant frame assessments </w:t>
      </w:r>
    </w:p>
    <w:p w14:paraId="3B245801" w14:textId="1214BA9F" w:rsidR="00B16DFF" w:rsidRPr="00E1301A" w:rsidRDefault="00B16DFF"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recording occlusal registrations</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tracing cephalographs</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carrying out intra-oral scanning for CAD/CAM</w:t>
      </w:r>
      <w:r w:rsidRPr="00E1301A">
        <w:rPr>
          <w:rFonts w:ascii="Arial" w:hAnsi="Arial" w:cs="Arial"/>
          <w:sz w:val="22"/>
          <w:szCs w:val="22"/>
        </w:rPr>
        <w:br/>
      </w:r>
      <w:r w:rsidRPr="00E1301A">
        <w:rPr>
          <w:rFonts w:ascii="Arial" w:hAnsi="Arial" w:cs="Arial"/>
          <w:color w:val="443D3D"/>
          <w:sz w:val="22"/>
          <w:szCs w:val="22"/>
        </w:rPr>
        <w:t xml:space="preserve">• </w:t>
      </w:r>
      <w:r w:rsidRPr="00E1301A">
        <w:rPr>
          <w:rFonts w:ascii="Arial" w:hAnsi="Arial" w:cs="Arial"/>
          <w:sz w:val="22"/>
          <w:szCs w:val="22"/>
        </w:rPr>
        <w:t xml:space="preserve">taking intra and extra-oral photographs. </w:t>
      </w:r>
    </w:p>
    <w:p w14:paraId="7C50E578" w14:textId="77777777" w:rsidR="00B16DFF"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sz w:val="22"/>
          <w:szCs w:val="22"/>
        </w:rPr>
        <w:t xml:space="preserve">Dental technicians </w:t>
      </w:r>
      <w:r w:rsidRPr="00E1301A">
        <w:rPr>
          <w:rFonts w:ascii="Arial" w:hAnsi="Arial" w:cs="Arial"/>
          <w:b/>
          <w:bCs/>
          <w:sz w:val="22"/>
          <w:szCs w:val="22"/>
        </w:rPr>
        <w:t xml:space="preserve">do not </w:t>
      </w:r>
      <w:r w:rsidRPr="00E1301A">
        <w:rPr>
          <w:rFonts w:ascii="Arial" w:hAnsi="Arial" w:cs="Arial"/>
          <w:sz w:val="22"/>
          <w:szCs w:val="22"/>
        </w:rPr>
        <w:t xml:space="preserve">work independently in the clinic to: </w:t>
      </w:r>
    </w:p>
    <w:p w14:paraId="38115185" w14:textId="77777777" w:rsidR="00E1301A" w:rsidRPr="00E1301A" w:rsidRDefault="00B16DFF"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color w:val="443D3D"/>
          <w:sz w:val="22"/>
          <w:szCs w:val="22"/>
        </w:rPr>
        <w:t xml:space="preserve">• </w:t>
      </w:r>
      <w:r w:rsidRPr="00E1301A">
        <w:rPr>
          <w:rFonts w:ascii="Arial" w:hAnsi="Arial" w:cs="Arial"/>
          <w:sz w:val="22"/>
          <w:szCs w:val="22"/>
        </w:rPr>
        <w:t xml:space="preserve">perform clinical procedures related to providing removable dental appliances </w:t>
      </w:r>
    </w:p>
    <w:p w14:paraId="5EE5D5F6" w14:textId="77777777" w:rsidR="00E1301A" w:rsidRPr="00E1301A" w:rsidRDefault="00E1301A"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sz w:val="22"/>
          <w:szCs w:val="22"/>
        </w:rPr>
        <w:t xml:space="preserve">• </w:t>
      </w:r>
      <w:r w:rsidR="00B16DFF" w:rsidRPr="00E1301A">
        <w:rPr>
          <w:rFonts w:ascii="Arial" w:hAnsi="Arial" w:cs="Arial"/>
          <w:sz w:val="22"/>
          <w:szCs w:val="22"/>
        </w:rPr>
        <w:t xml:space="preserve">carry out independent clinical examinations </w:t>
      </w:r>
    </w:p>
    <w:p w14:paraId="130D39E4" w14:textId="77777777" w:rsidR="00E1301A" w:rsidRPr="00E1301A" w:rsidRDefault="00B16DFF"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sz w:val="22"/>
          <w:szCs w:val="22"/>
        </w:rPr>
        <w:t xml:space="preserve">• identify abnormal oral mucosa and related underlying structures </w:t>
      </w:r>
    </w:p>
    <w:p w14:paraId="39B98AE7" w14:textId="7C42358C" w:rsidR="00B16DFF" w:rsidRPr="00E1301A" w:rsidRDefault="00B16DFF" w:rsidP="00E1301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sz w:val="22"/>
          <w:szCs w:val="22"/>
        </w:rPr>
      </w:pPr>
      <w:r w:rsidRPr="00E1301A">
        <w:rPr>
          <w:rFonts w:ascii="Arial" w:hAnsi="Arial" w:cs="Arial"/>
          <w:sz w:val="22"/>
          <w:szCs w:val="22"/>
        </w:rPr>
        <w:t xml:space="preserve">• fit removable appliances </w:t>
      </w:r>
    </w:p>
    <w:p w14:paraId="1E12968A" w14:textId="77777777" w:rsidR="00B16DFF" w:rsidRPr="00E1301A" w:rsidRDefault="00B16DFF" w:rsidP="00B16DFF">
      <w:pPr>
        <w:pStyle w:val="NormalWeb"/>
        <w:pBdr>
          <w:top w:val="single" w:sz="4" w:space="1" w:color="auto"/>
          <w:left w:val="single" w:sz="4" w:space="4" w:color="auto"/>
          <w:bottom w:val="single" w:sz="4" w:space="1" w:color="auto"/>
          <w:right w:val="single" w:sz="4" w:space="4" w:color="auto"/>
        </w:pBdr>
        <w:rPr>
          <w:rFonts w:ascii="Arial" w:hAnsi="Arial" w:cs="Arial"/>
          <w:sz w:val="22"/>
          <w:szCs w:val="22"/>
        </w:rPr>
      </w:pPr>
      <w:r w:rsidRPr="00E1301A">
        <w:rPr>
          <w:rFonts w:ascii="Arial" w:hAnsi="Arial" w:cs="Arial"/>
          <w:sz w:val="22"/>
          <w:szCs w:val="22"/>
        </w:rPr>
        <w:t xml:space="preserve">Dental technicians </w:t>
      </w:r>
      <w:r w:rsidRPr="00E1301A">
        <w:rPr>
          <w:rFonts w:ascii="Arial" w:hAnsi="Arial" w:cs="Arial"/>
          <w:b/>
          <w:bCs/>
          <w:sz w:val="22"/>
          <w:szCs w:val="22"/>
        </w:rPr>
        <w:t xml:space="preserve">do not </w:t>
      </w:r>
      <w:r w:rsidRPr="00E1301A">
        <w:rPr>
          <w:rFonts w:ascii="Arial" w:hAnsi="Arial" w:cs="Arial"/>
          <w:sz w:val="22"/>
          <w:szCs w:val="22"/>
        </w:rPr>
        <w:t xml:space="preserve">provide treatment for or give advice to patients in the ways that are described under the sections for dental hygienists, dental therapists, orthodontic therapists or dentists. </w:t>
      </w:r>
    </w:p>
    <w:p w14:paraId="25916CEB" w14:textId="570C383B" w:rsidR="00FA3451" w:rsidRDefault="00FA3451" w:rsidP="00AA1A8A">
      <w:pPr>
        <w:rPr>
          <w:rFonts w:ascii="Arial" w:eastAsia="Times New Roman" w:hAnsi="Arial" w:cs="Arial"/>
          <w:color w:val="212121"/>
          <w:sz w:val="22"/>
          <w:szCs w:val="22"/>
          <w:lang w:eastAsia="en-GB"/>
        </w:rPr>
      </w:pPr>
    </w:p>
    <w:p w14:paraId="2537A0A5" w14:textId="57541872" w:rsidR="00FE76D7" w:rsidRPr="002176C4" w:rsidRDefault="002176C4" w:rsidP="00DB596B">
      <w:pPr>
        <w:rPr>
          <w:rFonts w:ascii="Arial" w:eastAsia="Times New Roman" w:hAnsi="Arial" w:cs="Arial"/>
          <w:b/>
          <w:bCs/>
          <w:color w:val="212121"/>
          <w:sz w:val="22"/>
          <w:szCs w:val="22"/>
          <w:u w:val="single"/>
          <w:lang w:eastAsia="en-GB"/>
        </w:rPr>
      </w:pPr>
      <w:r w:rsidRPr="002176C4">
        <w:rPr>
          <w:rFonts w:ascii="Arial" w:eastAsia="Times New Roman" w:hAnsi="Arial" w:cs="Arial"/>
          <w:b/>
          <w:bCs/>
          <w:color w:val="212121"/>
          <w:sz w:val="22"/>
          <w:szCs w:val="22"/>
          <w:u w:val="single"/>
          <w:lang w:eastAsia="en-GB"/>
        </w:rPr>
        <w:t>MATERIALS AND METHODS</w:t>
      </w:r>
    </w:p>
    <w:p w14:paraId="321FD77B" w14:textId="77777777" w:rsidR="00FE76D7" w:rsidRDefault="00FE76D7" w:rsidP="00DB596B">
      <w:pPr>
        <w:rPr>
          <w:rFonts w:ascii="Arial" w:hAnsi="Arial" w:cs="Arial"/>
          <w:sz w:val="22"/>
          <w:szCs w:val="22"/>
        </w:rPr>
      </w:pPr>
    </w:p>
    <w:p w14:paraId="647180AB" w14:textId="26686EDA" w:rsidR="00B57305" w:rsidRDefault="0083186F" w:rsidP="00B57305">
      <w:pPr>
        <w:rPr>
          <w:rFonts w:ascii="Arial" w:hAnsi="Arial" w:cs="Arial"/>
          <w:sz w:val="22"/>
          <w:szCs w:val="22"/>
        </w:rPr>
      </w:pPr>
      <w:r>
        <w:rPr>
          <w:rFonts w:ascii="Arial" w:hAnsi="Arial" w:cs="Arial"/>
          <w:sz w:val="22"/>
          <w:szCs w:val="22"/>
        </w:rPr>
        <w:t xml:space="preserve">Registered Dental Technicians involved in regulatory fitness to practice hearings </w:t>
      </w:r>
      <w:r w:rsidR="00B57305">
        <w:rPr>
          <w:rFonts w:ascii="Arial" w:hAnsi="Arial" w:cs="Arial"/>
          <w:sz w:val="22"/>
          <w:szCs w:val="22"/>
        </w:rPr>
        <w:t xml:space="preserve">before a Professional Conduct Committee </w:t>
      </w:r>
      <w:r>
        <w:rPr>
          <w:rFonts w:ascii="Arial" w:hAnsi="Arial" w:cs="Arial"/>
          <w:sz w:val="22"/>
          <w:szCs w:val="22"/>
        </w:rPr>
        <w:t>brought by the GDC during 2019 were identified u</w:t>
      </w:r>
      <w:r w:rsidR="00DB596B" w:rsidRPr="00FE76D7">
        <w:rPr>
          <w:rFonts w:ascii="Arial" w:hAnsi="Arial" w:cs="Arial"/>
          <w:sz w:val="22"/>
          <w:szCs w:val="22"/>
        </w:rPr>
        <w:t>sing the “</w:t>
      </w:r>
      <w:r w:rsidR="00B57305">
        <w:rPr>
          <w:rFonts w:ascii="Arial" w:hAnsi="Arial" w:cs="Arial"/>
          <w:sz w:val="22"/>
          <w:szCs w:val="22"/>
        </w:rPr>
        <w:t>F</w:t>
      </w:r>
      <w:r w:rsidR="00DB596B" w:rsidRPr="00FE76D7">
        <w:rPr>
          <w:rFonts w:ascii="Arial" w:hAnsi="Arial" w:cs="Arial"/>
          <w:sz w:val="22"/>
          <w:szCs w:val="22"/>
        </w:rPr>
        <w:t xml:space="preserve">ilter </w:t>
      </w:r>
      <w:r w:rsidR="00B57305">
        <w:rPr>
          <w:rFonts w:ascii="Arial" w:hAnsi="Arial" w:cs="Arial"/>
          <w:sz w:val="22"/>
          <w:szCs w:val="22"/>
        </w:rPr>
        <w:t>R</w:t>
      </w:r>
      <w:r w:rsidR="00DB596B" w:rsidRPr="00FE76D7">
        <w:rPr>
          <w:rFonts w:ascii="Arial" w:hAnsi="Arial" w:cs="Arial"/>
          <w:sz w:val="22"/>
          <w:szCs w:val="22"/>
        </w:rPr>
        <w:t>esults” option on the</w:t>
      </w:r>
      <w:r>
        <w:rPr>
          <w:rFonts w:ascii="Arial" w:hAnsi="Arial" w:cs="Arial"/>
          <w:sz w:val="22"/>
          <w:szCs w:val="22"/>
        </w:rPr>
        <w:t xml:space="preserve"> “Past Hearings” section of the </w:t>
      </w:r>
      <w:r w:rsidR="00DB596B" w:rsidRPr="00FE76D7">
        <w:rPr>
          <w:rFonts w:ascii="Arial" w:hAnsi="Arial" w:cs="Arial"/>
          <w:sz w:val="22"/>
          <w:szCs w:val="22"/>
        </w:rPr>
        <w:t>“</w:t>
      </w:r>
      <w:r w:rsidR="00FE76D7">
        <w:rPr>
          <w:rFonts w:ascii="Arial" w:hAnsi="Arial" w:cs="Arial"/>
          <w:sz w:val="22"/>
          <w:szCs w:val="22"/>
        </w:rPr>
        <w:t xml:space="preserve">Outcomes and </w:t>
      </w:r>
      <w:r>
        <w:rPr>
          <w:rFonts w:ascii="Arial" w:hAnsi="Arial" w:cs="Arial"/>
          <w:sz w:val="22"/>
          <w:szCs w:val="22"/>
        </w:rPr>
        <w:t>A</w:t>
      </w:r>
      <w:r w:rsidR="00FE76D7">
        <w:rPr>
          <w:rFonts w:ascii="Arial" w:hAnsi="Arial" w:cs="Arial"/>
          <w:sz w:val="22"/>
          <w:szCs w:val="22"/>
        </w:rPr>
        <w:t xml:space="preserve">ppeals </w:t>
      </w:r>
      <w:r>
        <w:rPr>
          <w:rFonts w:ascii="Arial" w:hAnsi="Arial" w:cs="Arial"/>
          <w:sz w:val="22"/>
          <w:szCs w:val="22"/>
        </w:rPr>
        <w:t>L</w:t>
      </w:r>
      <w:r w:rsidR="00FE76D7">
        <w:rPr>
          <w:rFonts w:ascii="Arial" w:hAnsi="Arial" w:cs="Arial"/>
          <w:sz w:val="22"/>
          <w:szCs w:val="22"/>
        </w:rPr>
        <w:t>ist”</w:t>
      </w:r>
      <w:r w:rsidR="00DB596B" w:rsidRPr="00FE76D7">
        <w:rPr>
          <w:rFonts w:ascii="Arial" w:hAnsi="Arial" w:cs="Arial"/>
          <w:sz w:val="22"/>
          <w:szCs w:val="22"/>
        </w:rPr>
        <w:t xml:space="preserve"> page</w:t>
      </w:r>
      <w:r w:rsidR="00FE76D7">
        <w:rPr>
          <w:rFonts w:ascii="Arial" w:hAnsi="Arial" w:cs="Arial"/>
          <w:sz w:val="22"/>
          <w:szCs w:val="22"/>
        </w:rPr>
        <w:t xml:space="preserve"> of the GDC </w:t>
      </w:r>
      <w:r>
        <w:rPr>
          <w:rFonts w:ascii="Arial" w:hAnsi="Arial" w:cs="Arial"/>
          <w:sz w:val="22"/>
          <w:szCs w:val="22"/>
        </w:rPr>
        <w:t>website</w:t>
      </w:r>
      <w:r>
        <w:rPr>
          <w:rStyle w:val="FootnoteReference"/>
          <w:rFonts w:ascii="Arial" w:hAnsi="Arial" w:cs="Arial"/>
          <w:sz w:val="22"/>
          <w:szCs w:val="22"/>
        </w:rPr>
        <w:footnoteReference w:id="8"/>
      </w:r>
      <w:r w:rsidR="00B57305">
        <w:rPr>
          <w:rFonts w:ascii="Arial" w:hAnsi="Arial" w:cs="Arial"/>
          <w:sz w:val="22"/>
          <w:szCs w:val="22"/>
        </w:rPr>
        <w:t xml:space="preserve">.  </w:t>
      </w:r>
      <w:r w:rsidR="00B57305" w:rsidRPr="00B57305">
        <w:rPr>
          <w:rFonts w:ascii="Arial" w:hAnsi="Arial" w:cs="Arial"/>
          <w:sz w:val="22"/>
          <w:szCs w:val="22"/>
        </w:rPr>
        <w:t>Within the “filter results” option</w:t>
      </w:r>
      <w:r w:rsidR="00B57305">
        <w:rPr>
          <w:rFonts w:ascii="Arial" w:hAnsi="Arial" w:cs="Arial"/>
          <w:sz w:val="22"/>
          <w:szCs w:val="22"/>
        </w:rPr>
        <w:t>:</w:t>
      </w:r>
    </w:p>
    <w:p w14:paraId="57C79824" w14:textId="77777777" w:rsidR="00B57305" w:rsidRDefault="00B57305" w:rsidP="00B57305">
      <w:pPr>
        <w:rPr>
          <w:rFonts w:ascii="Arial" w:hAnsi="Arial" w:cs="Arial"/>
          <w:sz w:val="22"/>
          <w:szCs w:val="22"/>
        </w:rPr>
      </w:pPr>
    </w:p>
    <w:p w14:paraId="75AB2B72" w14:textId="0F028E16" w:rsidR="0083186F" w:rsidRDefault="00B57305" w:rsidP="00B57305">
      <w:pPr>
        <w:pStyle w:val="ListParagraph"/>
        <w:numPr>
          <w:ilvl w:val="0"/>
          <w:numId w:val="3"/>
        </w:numPr>
        <w:rPr>
          <w:rFonts w:ascii="Arial" w:hAnsi="Arial" w:cs="Arial"/>
          <w:sz w:val="22"/>
          <w:szCs w:val="22"/>
        </w:rPr>
      </w:pPr>
      <w:r w:rsidRPr="00B57305">
        <w:rPr>
          <w:rFonts w:ascii="Arial" w:hAnsi="Arial" w:cs="Arial"/>
          <w:sz w:val="22"/>
          <w:szCs w:val="22"/>
        </w:rPr>
        <w:t xml:space="preserve">the </w:t>
      </w:r>
      <w:r w:rsidR="00DB596B" w:rsidRPr="00B57305">
        <w:rPr>
          <w:rFonts w:ascii="Arial" w:hAnsi="Arial" w:cs="Arial"/>
          <w:sz w:val="22"/>
          <w:szCs w:val="22"/>
        </w:rPr>
        <w:t>“</w:t>
      </w:r>
      <w:r w:rsidRPr="00B57305">
        <w:rPr>
          <w:rFonts w:ascii="Arial" w:hAnsi="Arial" w:cs="Arial"/>
          <w:sz w:val="22"/>
          <w:szCs w:val="22"/>
        </w:rPr>
        <w:t>P</w:t>
      </w:r>
      <w:r w:rsidR="00DB596B" w:rsidRPr="00B57305">
        <w:rPr>
          <w:rFonts w:ascii="Arial" w:hAnsi="Arial" w:cs="Arial"/>
          <w:sz w:val="22"/>
          <w:szCs w:val="22"/>
        </w:rPr>
        <w:t>rofession</w:t>
      </w:r>
      <w:r w:rsidR="0083186F" w:rsidRPr="00B57305">
        <w:rPr>
          <w:rFonts w:ascii="Arial" w:hAnsi="Arial" w:cs="Arial"/>
          <w:sz w:val="22"/>
          <w:szCs w:val="22"/>
        </w:rPr>
        <w:t>”</w:t>
      </w:r>
      <w:r w:rsidR="00DB596B" w:rsidRPr="00B57305">
        <w:rPr>
          <w:rFonts w:ascii="Arial" w:hAnsi="Arial" w:cs="Arial"/>
          <w:sz w:val="22"/>
          <w:szCs w:val="22"/>
        </w:rPr>
        <w:t xml:space="preserve"> field </w:t>
      </w:r>
      <w:r w:rsidRPr="00B57305">
        <w:rPr>
          <w:rFonts w:ascii="Arial" w:hAnsi="Arial" w:cs="Arial"/>
          <w:sz w:val="22"/>
          <w:szCs w:val="22"/>
        </w:rPr>
        <w:t xml:space="preserve">was selected </w:t>
      </w:r>
      <w:r w:rsidR="00DB596B" w:rsidRPr="00B57305">
        <w:rPr>
          <w:rFonts w:ascii="Arial" w:hAnsi="Arial" w:cs="Arial"/>
          <w:sz w:val="22"/>
          <w:szCs w:val="22"/>
        </w:rPr>
        <w:t>as “Dental Technician”</w:t>
      </w:r>
      <w:r>
        <w:rPr>
          <w:rFonts w:ascii="Arial" w:hAnsi="Arial" w:cs="Arial"/>
          <w:sz w:val="22"/>
          <w:szCs w:val="22"/>
        </w:rPr>
        <w:t>;</w:t>
      </w:r>
    </w:p>
    <w:p w14:paraId="7011A619" w14:textId="0F717604" w:rsidR="00B57305" w:rsidRDefault="00B57305" w:rsidP="00B57305">
      <w:pPr>
        <w:pStyle w:val="ListParagraph"/>
        <w:numPr>
          <w:ilvl w:val="0"/>
          <w:numId w:val="3"/>
        </w:numPr>
        <w:rPr>
          <w:rFonts w:ascii="Arial" w:hAnsi="Arial" w:cs="Arial"/>
          <w:sz w:val="22"/>
          <w:szCs w:val="22"/>
        </w:rPr>
      </w:pPr>
      <w:r>
        <w:rPr>
          <w:rFonts w:ascii="Arial" w:hAnsi="Arial" w:cs="Arial"/>
          <w:sz w:val="22"/>
          <w:szCs w:val="22"/>
        </w:rPr>
        <w:t>the “Type of hearing’ field was selected as “Professional Conduct Committee”.</w:t>
      </w:r>
    </w:p>
    <w:p w14:paraId="0EC9429C" w14:textId="739CCA71" w:rsidR="007215D4" w:rsidRDefault="007215D4" w:rsidP="007215D4">
      <w:pPr>
        <w:rPr>
          <w:rFonts w:ascii="Arial" w:hAnsi="Arial" w:cs="Arial"/>
          <w:sz w:val="22"/>
          <w:szCs w:val="22"/>
        </w:rPr>
      </w:pPr>
    </w:p>
    <w:p w14:paraId="610F585F" w14:textId="6B8386F0" w:rsidR="007215D4" w:rsidRPr="007215D4" w:rsidRDefault="00B1242E" w:rsidP="007215D4">
      <w:pPr>
        <w:rPr>
          <w:rFonts w:ascii="Arial" w:hAnsi="Arial" w:cs="Arial"/>
          <w:sz w:val="22"/>
          <w:szCs w:val="22"/>
        </w:rPr>
      </w:pPr>
      <w:r>
        <w:rPr>
          <w:rFonts w:ascii="Arial" w:hAnsi="Arial" w:cs="Arial"/>
          <w:sz w:val="22"/>
          <w:szCs w:val="22"/>
        </w:rPr>
        <w:t>The published determinations for a</w:t>
      </w:r>
      <w:r w:rsidR="007215D4">
        <w:rPr>
          <w:rFonts w:ascii="Arial" w:hAnsi="Arial" w:cs="Arial"/>
          <w:sz w:val="22"/>
          <w:szCs w:val="22"/>
        </w:rPr>
        <w:t xml:space="preserve">ll hearings identified by the filtering </w:t>
      </w:r>
      <w:r>
        <w:rPr>
          <w:rFonts w:ascii="Arial" w:hAnsi="Arial" w:cs="Arial"/>
          <w:sz w:val="22"/>
          <w:szCs w:val="22"/>
        </w:rPr>
        <w:t xml:space="preserve">process having </w:t>
      </w:r>
      <w:r w:rsidR="007215D4">
        <w:rPr>
          <w:rFonts w:ascii="Arial" w:hAnsi="Arial" w:cs="Arial"/>
          <w:sz w:val="22"/>
          <w:szCs w:val="22"/>
        </w:rPr>
        <w:t>an “Event date” given as being between 01 January 2019 and 3</w:t>
      </w:r>
      <w:r w:rsidR="000565AE">
        <w:rPr>
          <w:rFonts w:ascii="Arial" w:hAnsi="Arial" w:cs="Arial"/>
          <w:sz w:val="22"/>
          <w:szCs w:val="22"/>
        </w:rPr>
        <w:t>1</w:t>
      </w:r>
      <w:bookmarkStart w:id="0" w:name="_GoBack"/>
      <w:bookmarkEnd w:id="0"/>
      <w:r w:rsidR="007215D4">
        <w:rPr>
          <w:rFonts w:ascii="Arial" w:hAnsi="Arial" w:cs="Arial"/>
          <w:sz w:val="22"/>
          <w:szCs w:val="22"/>
        </w:rPr>
        <w:t xml:space="preserve"> December 2019 inclusive were reviewed</w:t>
      </w:r>
      <w:r>
        <w:rPr>
          <w:rFonts w:ascii="Arial" w:hAnsi="Arial" w:cs="Arial"/>
          <w:sz w:val="22"/>
          <w:szCs w:val="22"/>
        </w:rPr>
        <w:t xml:space="preserve"> by clicking on the name of each identified registrant and thereafter on the link to the determination for the hearing.</w:t>
      </w:r>
    </w:p>
    <w:p w14:paraId="403A86D7" w14:textId="77777777" w:rsidR="0083186F" w:rsidRDefault="0083186F" w:rsidP="00DB596B">
      <w:pPr>
        <w:rPr>
          <w:rFonts w:ascii="Arial" w:hAnsi="Arial" w:cs="Arial"/>
          <w:sz w:val="22"/>
          <w:szCs w:val="22"/>
        </w:rPr>
      </w:pPr>
    </w:p>
    <w:p w14:paraId="46EC249D" w14:textId="0910AA0E" w:rsidR="0083186F" w:rsidRDefault="00C42A6A" w:rsidP="00DB596B">
      <w:pPr>
        <w:rPr>
          <w:rFonts w:ascii="Arial" w:hAnsi="Arial" w:cs="Arial"/>
          <w:sz w:val="22"/>
          <w:szCs w:val="22"/>
        </w:rPr>
      </w:pPr>
      <w:r>
        <w:rPr>
          <w:rFonts w:ascii="Arial" w:hAnsi="Arial" w:cs="Arial"/>
          <w:sz w:val="22"/>
          <w:szCs w:val="22"/>
        </w:rPr>
        <w:t xml:space="preserve">Where a hearing which had taken place during 2019 was identified as a “Review” determination, all published information within the specific fitness to practice proceedings was reviewed, including </w:t>
      </w:r>
      <w:r w:rsidR="00E374CF">
        <w:rPr>
          <w:rFonts w:ascii="Arial" w:hAnsi="Arial" w:cs="Arial"/>
          <w:sz w:val="22"/>
          <w:szCs w:val="22"/>
        </w:rPr>
        <w:t xml:space="preserve">any </w:t>
      </w:r>
      <w:r>
        <w:rPr>
          <w:rFonts w:ascii="Arial" w:hAnsi="Arial" w:cs="Arial"/>
          <w:sz w:val="22"/>
          <w:szCs w:val="22"/>
        </w:rPr>
        <w:t xml:space="preserve">earlier determinations </w:t>
      </w:r>
      <w:r w:rsidR="00E374CF">
        <w:rPr>
          <w:rFonts w:ascii="Arial" w:hAnsi="Arial" w:cs="Arial"/>
          <w:sz w:val="22"/>
          <w:szCs w:val="22"/>
        </w:rPr>
        <w:t xml:space="preserve">in the particular proceedings, </w:t>
      </w:r>
      <w:r>
        <w:rPr>
          <w:rFonts w:ascii="Arial" w:hAnsi="Arial" w:cs="Arial"/>
          <w:sz w:val="22"/>
          <w:szCs w:val="22"/>
        </w:rPr>
        <w:t xml:space="preserve">as well as the latest determination </w:t>
      </w:r>
      <w:r w:rsidR="003B228E">
        <w:rPr>
          <w:rFonts w:ascii="Arial" w:hAnsi="Arial" w:cs="Arial"/>
          <w:sz w:val="22"/>
          <w:szCs w:val="22"/>
        </w:rPr>
        <w:t xml:space="preserve">reached </w:t>
      </w:r>
      <w:r>
        <w:rPr>
          <w:rFonts w:ascii="Arial" w:hAnsi="Arial" w:cs="Arial"/>
          <w:sz w:val="22"/>
          <w:szCs w:val="22"/>
        </w:rPr>
        <w:t>during 2019.</w:t>
      </w:r>
    </w:p>
    <w:p w14:paraId="0670C351" w14:textId="2F01B9D1" w:rsidR="00F67D7F" w:rsidRDefault="00F67D7F" w:rsidP="00DB596B">
      <w:pPr>
        <w:rPr>
          <w:rFonts w:ascii="Arial" w:hAnsi="Arial" w:cs="Arial"/>
          <w:sz w:val="22"/>
          <w:szCs w:val="22"/>
        </w:rPr>
      </w:pPr>
    </w:p>
    <w:p w14:paraId="70425406" w14:textId="1953D819" w:rsidR="00F67D7F" w:rsidRDefault="00F67D7F" w:rsidP="00DB596B">
      <w:pPr>
        <w:rPr>
          <w:rFonts w:ascii="Arial" w:hAnsi="Arial" w:cs="Arial"/>
          <w:sz w:val="22"/>
          <w:szCs w:val="22"/>
        </w:rPr>
      </w:pPr>
      <w:r>
        <w:rPr>
          <w:rFonts w:ascii="Arial" w:hAnsi="Arial" w:cs="Arial"/>
          <w:sz w:val="22"/>
          <w:szCs w:val="22"/>
        </w:rPr>
        <w:t xml:space="preserve">In particular, the following features identifiable from </w:t>
      </w:r>
      <w:r w:rsidR="00B1660C">
        <w:rPr>
          <w:rFonts w:ascii="Arial" w:hAnsi="Arial" w:cs="Arial"/>
          <w:sz w:val="22"/>
          <w:szCs w:val="22"/>
        </w:rPr>
        <w:t xml:space="preserve">the published </w:t>
      </w:r>
      <w:r>
        <w:rPr>
          <w:rFonts w:ascii="Arial" w:hAnsi="Arial" w:cs="Arial"/>
          <w:sz w:val="22"/>
          <w:szCs w:val="22"/>
        </w:rPr>
        <w:t xml:space="preserve">determinations were </w:t>
      </w:r>
      <w:r w:rsidR="003B228E">
        <w:rPr>
          <w:rFonts w:ascii="Arial" w:hAnsi="Arial" w:cs="Arial"/>
          <w:sz w:val="22"/>
          <w:szCs w:val="22"/>
        </w:rPr>
        <w:t xml:space="preserve">specifically </w:t>
      </w:r>
      <w:r>
        <w:rPr>
          <w:rFonts w:ascii="Arial" w:hAnsi="Arial" w:cs="Arial"/>
          <w:sz w:val="22"/>
          <w:szCs w:val="22"/>
        </w:rPr>
        <w:t>noted:</w:t>
      </w:r>
    </w:p>
    <w:p w14:paraId="2B2DDE48" w14:textId="19B530AC" w:rsidR="00F67D7F" w:rsidRDefault="00F67D7F" w:rsidP="00DB596B">
      <w:pPr>
        <w:rPr>
          <w:rFonts w:ascii="Arial" w:hAnsi="Arial" w:cs="Arial"/>
          <w:sz w:val="22"/>
          <w:szCs w:val="22"/>
        </w:rPr>
      </w:pPr>
    </w:p>
    <w:p w14:paraId="5718F905" w14:textId="361E3904" w:rsidR="00F67D7F" w:rsidRDefault="00F67D7F" w:rsidP="00F67D7F">
      <w:pPr>
        <w:pStyle w:val="ListParagraph"/>
        <w:numPr>
          <w:ilvl w:val="0"/>
          <w:numId w:val="4"/>
        </w:numPr>
        <w:rPr>
          <w:rFonts w:ascii="Arial" w:hAnsi="Arial" w:cs="Arial"/>
          <w:sz w:val="22"/>
          <w:szCs w:val="22"/>
        </w:rPr>
      </w:pPr>
      <w:r>
        <w:rPr>
          <w:rFonts w:ascii="Arial" w:hAnsi="Arial" w:cs="Arial"/>
          <w:sz w:val="22"/>
          <w:szCs w:val="22"/>
        </w:rPr>
        <w:t>Whether the registrant attended the hearing</w:t>
      </w:r>
      <w:r w:rsidR="00E374CF">
        <w:rPr>
          <w:rFonts w:ascii="Arial" w:hAnsi="Arial" w:cs="Arial"/>
          <w:sz w:val="22"/>
          <w:szCs w:val="22"/>
        </w:rPr>
        <w:t>(s)</w:t>
      </w:r>
      <w:r>
        <w:rPr>
          <w:rFonts w:ascii="Arial" w:hAnsi="Arial" w:cs="Arial"/>
          <w:sz w:val="22"/>
          <w:szCs w:val="22"/>
        </w:rPr>
        <w:t>;</w:t>
      </w:r>
    </w:p>
    <w:p w14:paraId="70C11D02" w14:textId="7CF28A20" w:rsidR="00F67D7F" w:rsidRDefault="00F67D7F" w:rsidP="00F67D7F">
      <w:pPr>
        <w:pStyle w:val="ListParagraph"/>
        <w:numPr>
          <w:ilvl w:val="0"/>
          <w:numId w:val="4"/>
        </w:numPr>
        <w:rPr>
          <w:rFonts w:ascii="Arial" w:hAnsi="Arial" w:cs="Arial"/>
          <w:sz w:val="22"/>
          <w:szCs w:val="22"/>
        </w:rPr>
      </w:pPr>
      <w:r>
        <w:rPr>
          <w:rFonts w:ascii="Arial" w:hAnsi="Arial" w:cs="Arial"/>
          <w:sz w:val="22"/>
          <w:szCs w:val="22"/>
        </w:rPr>
        <w:t>Whether the registrant was represented by counsel at the hearing</w:t>
      </w:r>
      <w:r w:rsidR="00E374CF">
        <w:rPr>
          <w:rFonts w:ascii="Arial" w:hAnsi="Arial" w:cs="Arial"/>
          <w:sz w:val="22"/>
          <w:szCs w:val="22"/>
        </w:rPr>
        <w:t>(s)</w:t>
      </w:r>
      <w:r>
        <w:rPr>
          <w:rFonts w:ascii="Arial" w:hAnsi="Arial" w:cs="Arial"/>
          <w:sz w:val="22"/>
          <w:szCs w:val="22"/>
        </w:rPr>
        <w:t>;</w:t>
      </w:r>
    </w:p>
    <w:p w14:paraId="58477C04" w14:textId="77777777" w:rsidR="00F67D7F" w:rsidRDefault="00F67D7F" w:rsidP="00F67D7F">
      <w:pPr>
        <w:pStyle w:val="ListParagraph"/>
        <w:numPr>
          <w:ilvl w:val="0"/>
          <w:numId w:val="4"/>
        </w:numPr>
        <w:rPr>
          <w:rFonts w:ascii="Arial" w:hAnsi="Arial" w:cs="Arial"/>
          <w:sz w:val="22"/>
          <w:szCs w:val="22"/>
        </w:rPr>
      </w:pPr>
      <w:r>
        <w:rPr>
          <w:rFonts w:ascii="Arial" w:hAnsi="Arial" w:cs="Arial"/>
          <w:sz w:val="22"/>
          <w:szCs w:val="22"/>
        </w:rPr>
        <w:t>The nature of the charges faced by registrants;</w:t>
      </w:r>
    </w:p>
    <w:p w14:paraId="35603ED3" w14:textId="50F24248" w:rsidR="00F67D7F" w:rsidRDefault="00F67D7F" w:rsidP="00F67D7F">
      <w:pPr>
        <w:pStyle w:val="ListParagraph"/>
        <w:numPr>
          <w:ilvl w:val="0"/>
          <w:numId w:val="4"/>
        </w:numPr>
        <w:rPr>
          <w:rFonts w:ascii="Arial" w:hAnsi="Arial" w:cs="Arial"/>
          <w:sz w:val="22"/>
          <w:szCs w:val="22"/>
        </w:rPr>
      </w:pPr>
      <w:r>
        <w:rPr>
          <w:rFonts w:ascii="Arial" w:hAnsi="Arial" w:cs="Arial"/>
          <w:sz w:val="22"/>
          <w:szCs w:val="22"/>
        </w:rPr>
        <w:t>The outcome</w:t>
      </w:r>
      <w:r w:rsidR="00CB5A21">
        <w:rPr>
          <w:rFonts w:ascii="Arial" w:hAnsi="Arial" w:cs="Arial"/>
          <w:sz w:val="22"/>
          <w:szCs w:val="22"/>
        </w:rPr>
        <w:t>(s)</w:t>
      </w:r>
      <w:r>
        <w:rPr>
          <w:rFonts w:ascii="Arial" w:hAnsi="Arial" w:cs="Arial"/>
          <w:sz w:val="22"/>
          <w:szCs w:val="22"/>
        </w:rPr>
        <w:t xml:space="preserve"> in terms of sanction;</w:t>
      </w:r>
    </w:p>
    <w:p w14:paraId="6088A210" w14:textId="3D4E5963" w:rsidR="00F67D7F" w:rsidRDefault="003B228E" w:rsidP="00F67D7F">
      <w:pPr>
        <w:pStyle w:val="ListParagraph"/>
        <w:numPr>
          <w:ilvl w:val="0"/>
          <w:numId w:val="4"/>
        </w:numPr>
        <w:rPr>
          <w:rFonts w:ascii="Arial" w:hAnsi="Arial" w:cs="Arial"/>
          <w:sz w:val="22"/>
          <w:szCs w:val="22"/>
        </w:rPr>
      </w:pPr>
      <w:r>
        <w:rPr>
          <w:rFonts w:ascii="Arial" w:hAnsi="Arial" w:cs="Arial"/>
          <w:sz w:val="22"/>
          <w:szCs w:val="22"/>
        </w:rPr>
        <w:t xml:space="preserve">Whether the use of any “in-guise” or “under-guise” investigation was referred to within the review of evidence </w:t>
      </w:r>
      <w:r w:rsidR="00E374CF">
        <w:rPr>
          <w:rFonts w:ascii="Arial" w:hAnsi="Arial" w:cs="Arial"/>
          <w:sz w:val="22"/>
          <w:szCs w:val="22"/>
        </w:rPr>
        <w:t xml:space="preserve">recorded as having been </w:t>
      </w:r>
      <w:r>
        <w:rPr>
          <w:rFonts w:ascii="Arial" w:hAnsi="Arial" w:cs="Arial"/>
          <w:sz w:val="22"/>
          <w:szCs w:val="22"/>
        </w:rPr>
        <w:t>provided to the Committee</w:t>
      </w:r>
      <w:r w:rsidR="007679B8">
        <w:rPr>
          <w:rFonts w:ascii="Arial" w:hAnsi="Arial" w:cs="Arial"/>
          <w:sz w:val="22"/>
          <w:szCs w:val="22"/>
        </w:rPr>
        <w:t>.</w:t>
      </w:r>
    </w:p>
    <w:p w14:paraId="1D069105" w14:textId="0D4F5EEB" w:rsidR="007679B8" w:rsidRDefault="007679B8" w:rsidP="007679B8">
      <w:pPr>
        <w:rPr>
          <w:rFonts w:ascii="Arial" w:hAnsi="Arial" w:cs="Arial"/>
          <w:sz w:val="22"/>
          <w:szCs w:val="22"/>
        </w:rPr>
      </w:pPr>
    </w:p>
    <w:p w14:paraId="38F91891" w14:textId="1A50FB65" w:rsidR="007679B8" w:rsidRPr="002176C4" w:rsidRDefault="002176C4" w:rsidP="007679B8">
      <w:pPr>
        <w:rPr>
          <w:rFonts w:ascii="Arial" w:hAnsi="Arial" w:cs="Arial"/>
          <w:b/>
          <w:bCs/>
          <w:sz w:val="22"/>
          <w:szCs w:val="22"/>
          <w:u w:val="single"/>
        </w:rPr>
      </w:pPr>
      <w:r w:rsidRPr="002176C4">
        <w:rPr>
          <w:rFonts w:ascii="Arial" w:hAnsi="Arial" w:cs="Arial"/>
          <w:b/>
          <w:bCs/>
          <w:sz w:val="22"/>
          <w:szCs w:val="22"/>
          <w:u w:val="single"/>
        </w:rPr>
        <w:t>RESULTS</w:t>
      </w:r>
    </w:p>
    <w:p w14:paraId="2A5F4DD1" w14:textId="77777777" w:rsidR="005143B5" w:rsidRDefault="005143B5" w:rsidP="00DB596B">
      <w:pPr>
        <w:rPr>
          <w:rFonts w:ascii="Arial" w:hAnsi="Arial" w:cs="Arial"/>
          <w:sz w:val="22"/>
          <w:szCs w:val="22"/>
        </w:rPr>
      </w:pPr>
    </w:p>
    <w:p w14:paraId="094BAAA5" w14:textId="2C7298CB" w:rsidR="00DB596B" w:rsidRDefault="003B228E" w:rsidP="00DB596B">
      <w:pPr>
        <w:rPr>
          <w:rFonts w:ascii="Arial" w:hAnsi="Arial" w:cs="Arial"/>
          <w:sz w:val="22"/>
          <w:szCs w:val="22"/>
        </w:rPr>
      </w:pPr>
      <w:r>
        <w:rPr>
          <w:rFonts w:ascii="Arial" w:hAnsi="Arial" w:cs="Arial"/>
          <w:sz w:val="22"/>
          <w:szCs w:val="22"/>
        </w:rPr>
        <w:t>Sixteen (16)</w:t>
      </w:r>
      <w:r w:rsidR="00DB596B" w:rsidRPr="00FE76D7">
        <w:rPr>
          <w:rFonts w:ascii="Arial" w:hAnsi="Arial" w:cs="Arial"/>
          <w:sz w:val="22"/>
          <w:szCs w:val="22"/>
        </w:rPr>
        <w:t xml:space="preserve"> </w:t>
      </w:r>
      <w:r w:rsidR="00E374CF">
        <w:rPr>
          <w:rFonts w:ascii="Arial" w:hAnsi="Arial" w:cs="Arial"/>
          <w:sz w:val="22"/>
          <w:szCs w:val="22"/>
        </w:rPr>
        <w:t>R</w:t>
      </w:r>
      <w:r w:rsidR="00F83E58">
        <w:rPr>
          <w:rFonts w:ascii="Arial" w:hAnsi="Arial" w:cs="Arial"/>
          <w:sz w:val="22"/>
          <w:szCs w:val="22"/>
        </w:rPr>
        <w:t xml:space="preserve">egistered </w:t>
      </w:r>
      <w:r w:rsidR="00E374CF">
        <w:rPr>
          <w:rFonts w:ascii="Arial" w:hAnsi="Arial" w:cs="Arial"/>
          <w:sz w:val="22"/>
          <w:szCs w:val="22"/>
        </w:rPr>
        <w:t>D</w:t>
      </w:r>
      <w:r w:rsidR="00F83E58">
        <w:rPr>
          <w:rFonts w:ascii="Arial" w:hAnsi="Arial" w:cs="Arial"/>
          <w:sz w:val="22"/>
          <w:szCs w:val="22"/>
        </w:rPr>
        <w:t xml:space="preserve">ental </w:t>
      </w:r>
      <w:r w:rsidR="00E374CF">
        <w:rPr>
          <w:rFonts w:ascii="Arial" w:hAnsi="Arial" w:cs="Arial"/>
          <w:sz w:val="22"/>
          <w:szCs w:val="22"/>
        </w:rPr>
        <w:t>T</w:t>
      </w:r>
      <w:r w:rsidR="00F83E58">
        <w:rPr>
          <w:rFonts w:ascii="Arial" w:hAnsi="Arial" w:cs="Arial"/>
          <w:sz w:val="22"/>
          <w:szCs w:val="22"/>
        </w:rPr>
        <w:t xml:space="preserve">echnicians were identified from the filtered database on the GDC website as having had </w:t>
      </w:r>
      <w:r w:rsidR="00CB5A21">
        <w:rPr>
          <w:rFonts w:ascii="Arial" w:hAnsi="Arial" w:cs="Arial"/>
          <w:sz w:val="22"/>
          <w:szCs w:val="22"/>
        </w:rPr>
        <w:t xml:space="preserve">their </w:t>
      </w:r>
      <w:r w:rsidR="00F83E58">
        <w:rPr>
          <w:rFonts w:ascii="Arial" w:hAnsi="Arial" w:cs="Arial"/>
          <w:sz w:val="22"/>
          <w:szCs w:val="22"/>
        </w:rPr>
        <w:t xml:space="preserve">fitness to practice considered by a Professional Conduct Committee </w:t>
      </w:r>
      <w:r w:rsidR="00DB596B" w:rsidRPr="00FE76D7">
        <w:rPr>
          <w:rFonts w:ascii="Arial" w:hAnsi="Arial" w:cs="Arial"/>
          <w:sz w:val="22"/>
          <w:szCs w:val="22"/>
        </w:rPr>
        <w:t>between 01 January 2019 and 31 December 2019.</w:t>
      </w:r>
    </w:p>
    <w:p w14:paraId="25820077" w14:textId="0758942D" w:rsidR="003B228E" w:rsidRDefault="003B228E" w:rsidP="00DB596B">
      <w:pPr>
        <w:rPr>
          <w:rFonts w:ascii="Arial" w:hAnsi="Arial" w:cs="Arial"/>
          <w:sz w:val="22"/>
          <w:szCs w:val="22"/>
        </w:rPr>
      </w:pPr>
    </w:p>
    <w:p w14:paraId="6765CD42" w14:textId="7435F3A9" w:rsidR="003B228E" w:rsidRDefault="003B228E" w:rsidP="003B228E">
      <w:pPr>
        <w:rPr>
          <w:rFonts w:ascii="Arial" w:hAnsi="Arial" w:cs="Arial"/>
          <w:sz w:val="22"/>
          <w:szCs w:val="22"/>
        </w:rPr>
      </w:pPr>
      <w:r>
        <w:rPr>
          <w:rFonts w:ascii="Arial" w:hAnsi="Arial" w:cs="Arial"/>
          <w:sz w:val="22"/>
          <w:szCs w:val="22"/>
        </w:rPr>
        <w:t>Two (2) of these registrants w</w:t>
      </w:r>
      <w:r w:rsidR="00CB5A21">
        <w:rPr>
          <w:rFonts w:ascii="Arial" w:hAnsi="Arial" w:cs="Arial"/>
          <w:sz w:val="22"/>
          <w:szCs w:val="22"/>
        </w:rPr>
        <w:t>ere</w:t>
      </w:r>
      <w:r>
        <w:rPr>
          <w:rFonts w:ascii="Arial" w:hAnsi="Arial" w:cs="Arial"/>
          <w:sz w:val="22"/>
          <w:szCs w:val="22"/>
        </w:rPr>
        <w:t xml:space="preserve"> identified as also being registered as a Clinical Dental Technician.  The allegations of misconduc</w:t>
      </w:r>
      <w:r w:rsidR="00464E7C">
        <w:rPr>
          <w:rFonts w:ascii="Arial" w:hAnsi="Arial" w:cs="Arial"/>
          <w:sz w:val="22"/>
          <w:szCs w:val="22"/>
        </w:rPr>
        <w:t xml:space="preserve">t </w:t>
      </w:r>
      <w:r>
        <w:rPr>
          <w:rFonts w:ascii="Arial" w:hAnsi="Arial" w:cs="Arial"/>
          <w:sz w:val="22"/>
          <w:szCs w:val="22"/>
        </w:rPr>
        <w:t>specifically in respect of one of these included, (but were not restricted to) allegations regarding sub-standard clinical work</w:t>
      </w:r>
      <w:r w:rsidR="00081357">
        <w:rPr>
          <w:rFonts w:ascii="Arial" w:hAnsi="Arial" w:cs="Arial"/>
          <w:sz w:val="22"/>
          <w:szCs w:val="22"/>
        </w:rPr>
        <w:t xml:space="preserve"> and administrative practices</w:t>
      </w:r>
      <w:r>
        <w:rPr>
          <w:rFonts w:ascii="Arial" w:hAnsi="Arial" w:cs="Arial"/>
          <w:sz w:val="22"/>
          <w:szCs w:val="22"/>
        </w:rPr>
        <w:t>.  The other registrant self-referred to the GDC, as well as being referred by a former employer. The allegations in this case related to working beyond the scope of practice</w:t>
      </w:r>
      <w:r w:rsidR="00CB5A21">
        <w:rPr>
          <w:rFonts w:ascii="Arial" w:hAnsi="Arial" w:cs="Arial"/>
          <w:sz w:val="22"/>
          <w:szCs w:val="22"/>
        </w:rPr>
        <w:t xml:space="preserve"> of a Clinical Dental Technician </w:t>
      </w:r>
      <w:r>
        <w:rPr>
          <w:rFonts w:ascii="Arial" w:hAnsi="Arial" w:cs="Arial"/>
          <w:sz w:val="22"/>
          <w:szCs w:val="22"/>
        </w:rPr>
        <w:t>and inadequate record-keeping.</w:t>
      </w:r>
    </w:p>
    <w:p w14:paraId="797EB9F7" w14:textId="0DB141A1" w:rsidR="003D4AB8" w:rsidRDefault="003D4AB8" w:rsidP="003B228E">
      <w:pPr>
        <w:rPr>
          <w:rFonts w:ascii="Arial" w:hAnsi="Arial" w:cs="Arial"/>
          <w:sz w:val="22"/>
          <w:szCs w:val="22"/>
        </w:rPr>
      </w:pPr>
    </w:p>
    <w:p w14:paraId="642F6B91" w14:textId="42F97B3B" w:rsidR="003D4AB8" w:rsidRPr="005A0EE5" w:rsidRDefault="005A0EE5" w:rsidP="003B228E">
      <w:pPr>
        <w:rPr>
          <w:rFonts w:ascii="Arial" w:hAnsi="Arial" w:cs="Arial"/>
          <w:sz w:val="22"/>
          <w:szCs w:val="22"/>
          <w:u w:val="single"/>
        </w:rPr>
      </w:pPr>
      <w:r>
        <w:rPr>
          <w:rFonts w:ascii="Arial" w:hAnsi="Arial" w:cs="Arial"/>
          <w:sz w:val="22"/>
          <w:szCs w:val="22"/>
          <w:u w:val="single"/>
        </w:rPr>
        <w:t>Attendance and representation at hearings</w:t>
      </w:r>
    </w:p>
    <w:p w14:paraId="4DA5D9AC" w14:textId="6E9C89C7" w:rsidR="00A519FC" w:rsidRDefault="00A519FC" w:rsidP="00DB596B">
      <w:pPr>
        <w:rPr>
          <w:rFonts w:ascii="Arial" w:hAnsi="Arial" w:cs="Arial"/>
          <w:sz w:val="22"/>
          <w:szCs w:val="22"/>
        </w:rPr>
      </w:pPr>
    </w:p>
    <w:p w14:paraId="065E7F86" w14:textId="0AE72C0F" w:rsidR="00A519FC" w:rsidRDefault="00994F2A" w:rsidP="00DB596B">
      <w:pPr>
        <w:rPr>
          <w:rFonts w:ascii="Arial" w:hAnsi="Arial" w:cs="Arial"/>
          <w:sz w:val="22"/>
          <w:szCs w:val="22"/>
        </w:rPr>
      </w:pPr>
      <w:r>
        <w:rPr>
          <w:rFonts w:ascii="Arial" w:hAnsi="Arial" w:cs="Arial"/>
          <w:sz w:val="22"/>
          <w:szCs w:val="22"/>
        </w:rPr>
        <w:t xml:space="preserve">Eight </w:t>
      </w:r>
      <w:r w:rsidR="003B228E">
        <w:rPr>
          <w:rFonts w:ascii="Arial" w:hAnsi="Arial" w:cs="Arial"/>
          <w:sz w:val="22"/>
          <w:szCs w:val="22"/>
        </w:rPr>
        <w:t>(</w:t>
      </w:r>
      <w:r>
        <w:rPr>
          <w:rFonts w:ascii="Arial" w:hAnsi="Arial" w:cs="Arial"/>
          <w:sz w:val="22"/>
          <w:szCs w:val="22"/>
        </w:rPr>
        <w:t>8</w:t>
      </w:r>
      <w:r w:rsidR="003B228E">
        <w:rPr>
          <w:rFonts w:ascii="Arial" w:hAnsi="Arial" w:cs="Arial"/>
          <w:sz w:val="22"/>
          <w:szCs w:val="22"/>
        </w:rPr>
        <w:t>)</w:t>
      </w:r>
      <w:r w:rsidR="00A519FC">
        <w:rPr>
          <w:rFonts w:ascii="Arial" w:hAnsi="Arial" w:cs="Arial"/>
          <w:sz w:val="22"/>
          <w:szCs w:val="22"/>
        </w:rPr>
        <w:t xml:space="preserve"> of the </w:t>
      </w:r>
      <w:r w:rsidR="003B228E">
        <w:rPr>
          <w:rFonts w:ascii="Arial" w:hAnsi="Arial" w:cs="Arial"/>
          <w:sz w:val="22"/>
          <w:szCs w:val="22"/>
        </w:rPr>
        <w:t xml:space="preserve">identified </w:t>
      </w:r>
      <w:r w:rsidR="00A519FC">
        <w:rPr>
          <w:rFonts w:ascii="Arial" w:hAnsi="Arial" w:cs="Arial"/>
          <w:sz w:val="22"/>
          <w:szCs w:val="22"/>
        </w:rPr>
        <w:t xml:space="preserve">2019 hearings were </w:t>
      </w:r>
      <w:r w:rsidR="003B228E">
        <w:rPr>
          <w:rFonts w:ascii="Arial" w:hAnsi="Arial" w:cs="Arial"/>
          <w:sz w:val="22"/>
          <w:szCs w:val="22"/>
        </w:rPr>
        <w:t xml:space="preserve">“resumed hearings”, </w:t>
      </w:r>
      <w:r w:rsidR="00725AC0">
        <w:rPr>
          <w:rFonts w:ascii="Arial" w:hAnsi="Arial" w:cs="Arial"/>
          <w:sz w:val="22"/>
          <w:szCs w:val="22"/>
        </w:rPr>
        <w:t xml:space="preserve">intended </w:t>
      </w:r>
      <w:r w:rsidR="003B228E">
        <w:rPr>
          <w:rFonts w:ascii="Arial" w:hAnsi="Arial" w:cs="Arial"/>
          <w:sz w:val="22"/>
          <w:szCs w:val="22"/>
        </w:rPr>
        <w:t xml:space="preserve">to review </w:t>
      </w:r>
      <w:r w:rsidR="00464E7C">
        <w:rPr>
          <w:rFonts w:ascii="Arial" w:hAnsi="Arial" w:cs="Arial"/>
          <w:sz w:val="22"/>
          <w:szCs w:val="22"/>
        </w:rPr>
        <w:t>O</w:t>
      </w:r>
      <w:r w:rsidR="003B228E">
        <w:rPr>
          <w:rFonts w:ascii="Arial" w:hAnsi="Arial" w:cs="Arial"/>
          <w:sz w:val="22"/>
          <w:szCs w:val="22"/>
        </w:rPr>
        <w:t>rders made at previous hearings.</w:t>
      </w:r>
      <w:r w:rsidR="00F43E29">
        <w:rPr>
          <w:rFonts w:ascii="Arial" w:hAnsi="Arial" w:cs="Arial"/>
          <w:sz w:val="22"/>
          <w:szCs w:val="22"/>
        </w:rPr>
        <w:t xml:space="preserve">  Of these:</w:t>
      </w:r>
    </w:p>
    <w:p w14:paraId="5454B9BA" w14:textId="5165E8DD" w:rsidR="00464E7C" w:rsidRDefault="00464E7C" w:rsidP="00DB596B">
      <w:pPr>
        <w:rPr>
          <w:rFonts w:ascii="Arial" w:hAnsi="Arial" w:cs="Arial"/>
          <w:sz w:val="22"/>
          <w:szCs w:val="22"/>
        </w:rPr>
      </w:pPr>
    </w:p>
    <w:p w14:paraId="76001876" w14:textId="47969767" w:rsidR="005A0EE5" w:rsidRDefault="00464E7C" w:rsidP="005A0EE5">
      <w:pPr>
        <w:pStyle w:val="ListParagraph"/>
        <w:numPr>
          <w:ilvl w:val="0"/>
          <w:numId w:val="5"/>
        </w:numPr>
        <w:rPr>
          <w:rFonts w:ascii="Arial" w:hAnsi="Arial" w:cs="Arial"/>
          <w:sz w:val="22"/>
          <w:szCs w:val="22"/>
        </w:rPr>
      </w:pPr>
      <w:r w:rsidRPr="00F43E29">
        <w:rPr>
          <w:rFonts w:ascii="Arial" w:hAnsi="Arial" w:cs="Arial"/>
          <w:sz w:val="22"/>
          <w:szCs w:val="22"/>
        </w:rPr>
        <w:lastRenderedPageBreak/>
        <w:t xml:space="preserve">One </w:t>
      </w:r>
      <w:r w:rsidR="00295218" w:rsidRPr="00F43E29">
        <w:rPr>
          <w:rFonts w:ascii="Arial" w:hAnsi="Arial" w:cs="Arial"/>
          <w:sz w:val="22"/>
          <w:szCs w:val="22"/>
        </w:rPr>
        <w:t xml:space="preserve">registrant </w:t>
      </w:r>
      <w:r w:rsidR="00F43E29">
        <w:rPr>
          <w:rFonts w:ascii="Arial" w:hAnsi="Arial" w:cs="Arial"/>
          <w:sz w:val="22"/>
          <w:szCs w:val="22"/>
        </w:rPr>
        <w:t xml:space="preserve">had </w:t>
      </w:r>
      <w:r w:rsidRPr="00F43E29">
        <w:rPr>
          <w:rFonts w:ascii="Arial" w:hAnsi="Arial" w:cs="Arial"/>
          <w:sz w:val="22"/>
          <w:szCs w:val="22"/>
        </w:rPr>
        <w:t xml:space="preserve">attended </w:t>
      </w:r>
      <w:r w:rsidR="00295218" w:rsidRPr="00F43E29">
        <w:rPr>
          <w:rFonts w:ascii="Arial" w:hAnsi="Arial" w:cs="Arial"/>
          <w:sz w:val="22"/>
          <w:szCs w:val="22"/>
        </w:rPr>
        <w:t xml:space="preserve">the </w:t>
      </w:r>
      <w:r w:rsidRPr="00F43E29">
        <w:rPr>
          <w:rFonts w:ascii="Arial" w:hAnsi="Arial" w:cs="Arial"/>
          <w:sz w:val="22"/>
          <w:szCs w:val="22"/>
        </w:rPr>
        <w:t>original</w:t>
      </w:r>
      <w:r w:rsidR="00295218" w:rsidRPr="00F43E29">
        <w:rPr>
          <w:rFonts w:ascii="Arial" w:hAnsi="Arial" w:cs="Arial"/>
          <w:sz w:val="22"/>
          <w:szCs w:val="22"/>
        </w:rPr>
        <w:t xml:space="preserve"> hearing, when they were represented by counsel.  However, they did not attend and were unrepresented at a 12 month review hearing</w:t>
      </w:r>
      <w:r w:rsidR="00F43E29">
        <w:rPr>
          <w:rFonts w:ascii="Arial" w:hAnsi="Arial" w:cs="Arial"/>
          <w:sz w:val="22"/>
          <w:szCs w:val="22"/>
        </w:rPr>
        <w:t xml:space="preserve"> in 2019</w:t>
      </w:r>
      <w:r w:rsidR="00295218" w:rsidRPr="00F43E29">
        <w:rPr>
          <w:rFonts w:ascii="Arial" w:hAnsi="Arial" w:cs="Arial"/>
          <w:sz w:val="22"/>
          <w:szCs w:val="22"/>
        </w:rPr>
        <w:t xml:space="preserve">. </w:t>
      </w:r>
      <w:r w:rsidR="005A0EE5">
        <w:rPr>
          <w:rFonts w:ascii="Arial" w:hAnsi="Arial" w:cs="Arial"/>
          <w:sz w:val="22"/>
          <w:szCs w:val="22"/>
        </w:rPr>
        <w:t xml:space="preserve"> </w:t>
      </w:r>
    </w:p>
    <w:p w14:paraId="773B12CC" w14:textId="77777777" w:rsidR="00994F2A" w:rsidRDefault="00994F2A" w:rsidP="00994F2A">
      <w:pPr>
        <w:pStyle w:val="ListParagraph"/>
        <w:rPr>
          <w:rFonts w:ascii="Arial" w:hAnsi="Arial" w:cs="Arial"/>
          <w:sz w:val="22"/>
          <w:szCs w:val="22"/>
        </w:rPr>
      </w:pPr>
    </w:p>
    <w:p w14:paraId="224D8A8F" w14:textId="29528FED" w:rsidR="00994F2A" w:rsidRDefault="00725AC0" w:rsidP="00994F2A">
      <w:pPr>
        <w:pStyle w:val="ListParagraph"/>
        <w:numPr>
          <w:ilvl w:val="0"/>
          <w:numId w:val="5"/>
        </w:numPr>
        <w:rPr>
          <w:rFonts w:ascii="Arial" w:hAnsi="Arial" w:cs="Arial"/>
          <w:sz w:val="22"/>
          <w:szCs w:val="22"/>
        </w:rPr>
      </w:pPr>
      <w:r>
        <w:rPr>
          <w:rFonts w:ascii="Arial" w:hAnsi="Arial" w:cs="Arial"/>
          <w:sz w:val="22"/>
          <w:szCs w:val="22"/>
        </w:rPr>
        <w:t xml:space="preserve">Two </w:t>
      </w:r>
      <w:r w:rsidR="00994F2A" w:rsidRPr="00F43E29">
        <w:rPr>
          <w:rFonts w:ascii="Arial" w:hAnsi="Arial" w:cs="Arial"/>
          <w:sz w:val="22"/>
          <w:szCs w:val="22"/>
        </w:rPr>
        <w:t>registrant</w:t>
      </w:r>
      <w:r>
        <w:rPr>
          <w:rFonts w:ascii="Arial" w:hAnsi="Arial" w:cs="Arial"/>
          <w:sz w:val="22"/>
          <w:szCs w:val="22"/>
        </w:rPr>
        <w:t>s</w:t>
      </w:r>
      <w:r w:rsidR="00994F2A" w:rsidRPr="00F43E29">
        <w:rPr>
          <w:rFonts w:ascii="Arial" w:hAnsi="Arial" w:cs="Arial"/>
          <w:sz w:val="22"/>
          <w:szCs w:val="22"/>
        </w:rPr>
        <w:t xml:space="preserve"> </w:t>
      </w:r>
      <w:r w:rsidR="00994F2A">
        <w:rPr>
          <w:rFonts w:ascii="Arial" w:hAnsi="Arial" w:cs="Arial"/>
          <w:sz w:val="22"/>
          <w:szCs w:val="22"/>
        </w:rPr>
        <w:t xml:space="preserve">had </w:t>
      </w:r>
      <w:r w:rsidR="00994F2A" w:rsidRPr="00F43E29">
        <w:rPr>
          <w:rFonts w:ascii="Arial" w:hAnsi="Arial" w:cs="Arial"/>
          <w:sz w:val="22"/>
          <w:szCs w:val="22"/>
        </w:rPr>
        <w:t>attended the original hearing</w:t>
      </w:r>
      <w:r w:rsidR="00994F2A">
        <w:rPr>
          <w:rFonts w:ascii="Arial" w:hAnsi="Arial" w:cs="Arial"/>
          <w:sz w:val="22"/>
          <w:szCs w:val="22"/>
        </w:rPr>
        <w:t xml:space="preserve"> in person</w:t>
      </w:r>
      <w:r w:rsidR="00994F2A" w:rsidRPr="00F43E29">
        <w:rPr>
          <w:rFonts w:ascii="Arial" w:hAnsi="Arial" w:cs="Arial"/>
          <w:sz w:val="22"/>
          <w:szCs w:val="22"/>
        </w:rPr>
        <w:t xml:space="preserve">, </w:t>
      </w:r>
      <w:r w:rsidR="00994F2A">
        <w:rPr>
          <w:rFonts w:ascii="Arial" w:hAnsi="Arial" w:cs="Arial"/>
          <w:sz w:val="22"/>
          <w:szCs w:val="22"/>
        </w:rPr>
        <w:t xml:space="preserve">although </w:t>
      </w:r>
      <w:r w:rsidR="00994F2A" w:rsidRPr="00F43E29">
        <w:rPr>
          <w:rFonts w:ascii="Arial" w:hAnsi="Arial" w:cs="Arial"/>
          <w:sz w:val="22"/>
          <w:szCs w:val="22"/>
        </w:rPr>
        <w:t xml:space="preserve">they were </w:t>
      </w:r>
      <w:r w:rsidR="00994F2A">
        <w:rPr>
          <w:rFonts w:ascii="Arial" w:hAnsi="Arial" w:cs="Arial"/>
          <w:sz w:val="22"/>
          <w:szCs w:val="22"/>
        </w:rPr>
        <w:t>un</w:t>
      </w:r>
      <w:r w:rsidR="00994F2A" w:rsidRPr="00F43E29">
        <w:rPr>
          <w:rFonts w:ascii="Arial" w:hAnsi="Arial" w:cs="Arial"/>
          <w:sz w:val="22"/>
          <w:szCs w:val="22"/>
        </w:rPr>
        <w:t>represented</w:t>
      </w:r>
      <w:r w:rsidR="00994F2A">
        <w:rPr>
          <w:rFonts w:ascii="Arial" w:hAnsi="Arial" w:cs="Arial"/>
          <w:sz w:val="22"/>
          <w:szCs w:val="22"/>
        </w:rPr>
        <w:t>.</w:t>
      </w:r>
      <w:r w:rsidR="00994F2A" w:rsidRPr="00F43E29">
        <w:rPr>
          <w:rFonts w:ascii="Arial" w:hAnsi="Arial" w:cs="Arial"/>
          <w:sz w:val="22"/>
          <w:szCs w:val="22"/>
        </w:rPr>
        <w:t xml:space="preserve"> However, they did not attend and were unrepresented at a 12 month review hearing</w:t>
      </w:r>
      <w:r w:rsidR="00994F2A">
        <w:rPr>
          <w:rFonts w:ascii="Arial" w:hAnsi="Arial" w:cs="Arial"/>
          <w:sz w:val="22"/>
          <w:szCs w:val="22"/>
        </w:rPr>
        <w:t xml:space="preserve"> in 2019</w:t>
      </w:r>
      <w:r w:rsidR="00994F2A" w:rsidRPr="00F43E29">
        <w:rPr>
          <w:rFonts w:ascii="Arial" w:hAnsi="Arial" w:cs="Arial"/>
          <w:sz w:val="22"/>
          <w:szCs w:val="22"/>
        </w:rPr>
        <w:t xml:space="preserve">. </w:t>
      </w:r>
      <w:r w:rsidR="00994F2A">
        <w:rPr>
          <w:rFonts w:ascii="Arial" w:hAnsi="Arial" w:cs="Arial"/>
          <w:sz w:val="22"/>
          <w:szCs w:val="22"/>
        </w:rPr>
        <w:t xml:space="preserve"> </w:t>
      </w:r>
    </w:p>
    <w:p w14:paraId="0D61653C" w14:textId="77777777" w:rsidR="00595BD5" w:rsidRPr="00595BD5" w:rsidRDefault="00595BD5" w:rsidP="00595BD5">
      <w:pPr>
        <w:pStyle w:val="ListParagraph"/>
        <w:rPr>
          <w:rFonts w:ascii="Arial" w:hAnsi="Arial" w:cs="Arial"/>
          <w:sz w:val="22"/>
          <w:szCs w:val="22"/>
        </w:rPr>
      </w:pPr>
    </w:p>
    <w:p w14:paraId="4EFCB367" w14:textId="77777777" w:rsidR="00595BD5" w:rsidRDefault="00595BD5" w:rsidP="00595BD5">
      <w:pPr>
        <w:pStyle w:val="ListParagraph"/>
        <w:numPr>
          <w:ilvl w:val="0"/>
          <w:numId w:val="5"/>
        </w:numPr>
        <w:rPr>
          <w:rFonts w:ascii="Arial" w:hAnsi="Arial" w:cs="Arial"/>
          <w:sz w:val="22"/>
          <w:szCs w:val="22"/>
        </w:rPr>
      </w:pPr>
      <w:r w:rsidRPr="0015428B">
        <w:rPr>
          <w:rFonts w:ascii="Arial" w:hAnsi="Arial" w:cs="Arial"/>
          <w:sz w:val="22"/>
          <w:szCs w:val="22"/>
        </w:rPr>
        <w:t xml:space="preserve">One registrant attended their original hearing by telephone, but </w:t>
      </w:r>
      <w:r>
        <w:rPr>
          <w:rFonts w:ascii="Arial" w:hAnsi="Arial" w:cs="Arial"/>
          <w:sz w:val="22"/>
          <w:szCs w:val="22"/>
        </w:rPr>
        <w:t xml:space="preserve">then </w:t>
      </w:r>
      <w:r w:rsidRPr="0015428B">
        <w:rPr>
          <w:rFonts w:ascii="Arial" w:hAnsi="Arial" w:cs="Arial"/>
          <w:sz w:val="22"/>
          <w:szCs w:val="22"/>
        </w:rPr>
        <w:t xml:space="preserve">disengaged from proceedings, failing to attend a review hearing and failing to comply with a condition that a written reflection in relation to the misconduct found be provided.  </w:t>
      </w:r>
    </w:p>
    <w:p w14:paraId="4F7B51AE" w14:textId="77777777" w:rsidR="00595BD5" w:rsidRPr="00773AB5" w:rsidRDefault="00595BD5" w:rsidP="00595BD5">
      <w:pPr>
        <w:pStyle w:val="ListParagraph"/>
        <w:rPr>
          <w:rFonts w:ascii="Arial" w:hAnsi="Arial" w:cs="Arial"/>
          <w:sz w:val="22"/>
          <w:szCs w:val="22"/>
        </w:rPr>
      </w:pPr>
    </w:p>
    <w:p w14:paraId="48F96331" w14:textId="77777777" w:rsidR="00595BD5" w:rsidRPr="0015428B" w:rsidRDefault="00595BD5" w:rsidP="00595BD5">
      <w:pPr>
        <w:pStyle w:val="ListParagraph"/>
        <w:numPr>
          <w:ilvl w:val="0"/>
          <w:numId w:val="5"/>
        </w:numPr>
        <w:rPr>
          <w:rFonts w:ascii="Arial" w:hAnsi="Arial" w:cs="Arial"/>
          <w:sz w:val="22"/>
          <w:szCs w:val="22"/>
        </w:rPr>
      </w:pPr>
      <w:r>
        <w:rPr>
          <w:rFonts w:ascii="Arial" w:hAnsi="Arial" w:cs="Arial"/>
          <w:sz w:val="22"/>
          <w:szCs w:val="22"/>
        </w:rPr>
        <w:t>One registrant had attended their original hearing in person in 2016 and provided some limited evidence of remediation the following year.  However, they then failed to attend the review hearing itself and thereafter disengaged with the process, failing to attend two further review hearings in 2018 and 2019.</w:t>
      </w:r>
    </w:p>
    <w:p w14:paraId="225F269E" w14:textId="77777777" w:rsidR="00595BD5" w:rsidRDefault="00595BD5" w:rsidP="00595BD5">
      <w:pPr>
        <w:rPr>
          <w:rFonts w:ascii="Arial" w:hAnsi="Arial" w:cs="Arial"/>
          <w:sz w:val="22"/>
          <w:szCs w:val="22"/>
        </w:rPr>
      </w:pPr>
    </w:p>
    <w:p w14:paraId="3DFF7CBE" w14:textId="723CB313" w:rsidR="00595BD5" w:rsidRPr="00595BD5" w:rsidRDefault="00595BD5" w:rsidP="00595BD5">
      <w:pPr>
        <w:pStyle w:val="ListParagraph"/>
        <w:numPr>
          <w:ilvl w:val="0"/>
          <w:numId w:val="5"/>
        </w:numPr>
        <w:rPr>
          <w:rFonts w:ascii="Arial" w:hAnsi="Arial" w:cs="Arial"/>
          <w:sz w:val="22"/>
          <w:szCs w:val="22"/>
        </w:rPr>
      </w:pPr>
      <w:r>
        <w:rPr>
          <w:rFonts w:ascii="Arial" w:hAnsi="Arial" w:cs="Arial"/>
          <w:sz w:val="22"/>
          <w:szCs w:val="22"/>
        </w:rPr>
        <w:t>One</w:t>
      </w:r>
      <w:r w:rsidRPr="0015428B">
        <w:rPr>
          <w:rFonts w:ascii="Arial" w:hAnsi="Arial" w:cs="Arial"/>
          <w:sz w:val="22"/>
          <w:szCs w:val="22"/>
        </w:rPr>
        <w:t xml:space="preserve"> registrant did not attend either their original or a 2019 review hearing</w:t>
      </w:r>
      <w:r>
        <w:rPr>
          <w:rFonts w:ascii="Arial" w:hAnsi="Arial" w:cs="Arial"/>
          <w:sz w:val="22"/>
          <w:szCs w:val="22"/>
        </w:rPr>
        <w:t>.</w:t>
      </w:r>
    </w:p>
    <w:p w14:paraId="3585740F" w14:textId="77777777" w:rsidR="00464E7C" w:rsidRDefault="00464E7C" w:rsidP="00DB596B">
      <w:pPr>
        <w:rPr>
          <w:rFonts w:ascii="Arial" w:hAnsi="Arial" w:cs="Arial"/>
          <w:sz w:val="22"/>
          <w:szCs w:val="22"/>
        </w:rPr>
      </w:pPr>
    </w:p>
    <w:p w14:paraId="5316A129" w14:textId="418BEFBB" w:rsidR="00464E7C" w:rsidRPr="00F43E29" w:rsidRDefault="00C92487" w:rsidP="00F43E29">
      <w:pPr>
        <w:pStyle w:val="ListParagraph"/>
        <w:numPr>
          <w:ilvl w:val="0"/>
          <w:numId w:val="5"/>
        </w:numPr>
        <w:rPr>
          <w:rFonts w:ascii="Arial" w:hAnsi="Arial" w:cs="Arial"/>
          <w:sz w:val="22"/>
          <w:szCs w:val="22"/>
        </w:rPr>
      </w:pPr>
      <w:r>
        <w:rPr>
          <w:rFonts w:ascii="Arial" w:hAnsi="Arial" w:cs="Arial"/>
          <w:sz w:val="22"/>
          <w:szCs w:val="22"/>
        </w:rPr>
        <w:t>T</w:t>
      </w:r>
      <w:r w:rsidR="00725AC0">
        <w:rPr>
          <w:rFonts w:ascii="Arial" w:hAnsi="Arial" w:cs="Arial"/>
          <w:sz w:val="22"/>
          <w:szCs w:val="22"/>
        </w:rPr>
        <w:t>wo</w:t>
      </w:r>
      <w:r w:rsidR="00464E7C" w:rsidRPr="00F43E29">
        <w:rPr>
          <w:rFonts w:ascii="Arial" w:hAnsi="Arial" w:cs="Arial"/>
          <w:sz w:val="22"/>
          <w:szCs w:val="22"/>
        </w:rPr>
        <w:t xml:space="preserve"> </w:t>
      </w:r>
      <w:r w:rsidR="00295218" w:rsidRPr="00F43E29">
        <w:rPr>
          <w:rFonts w:ascii="Arial" w:hAnsi="Arial" w:cs="Arial"/>
          <w:sz w:val="22"/>
          <w:szCs w:val="22"/>
        </w:rPr>
        <w:t>registrant</w:t>
      </w:r>
      <w:r w:rsidR="00FD2A7C" w:rsidRPr="00F43E29">
        <w:rPr>
          <w:rFonts w:ascii="Arial" w:hAnsi="Arial" w:cs="Arial"/>
          <w:sz w:val="22"/>
          <w:szCs w:val="22"/>
        </w:rPr>
        <w:t>s</w:t>
      </w:r>
      <w:r w:rsidR="00295218" w:rsidRPr="00F43E29">
        <w:rPr>
          <w:rFonts w:ascii="Arial" w:hAnsi="Arial" w:cs="Arial"/>
          <w:sz w:val="22"/>
          <w:szCs w:val="22"/>
        </w:rPr>
        <w:t xml:space="preserve"> </w:t>
      </w:r>
      <w:r w:rsidR="00F43E29">
        <w:rPr>
          <w:rFonts w:ascii="Arial" w:hAnsi="Arial" w:cs="Arial"/>
          <w:sz w:val="22"/>
          <w:szCs w:val="22"/>
        </w:rPr>
        <w:t xml:space="preserve">had </w:t>
      </w:r>
      <w:r w:rsidR="00FD2A7C" w:rsidRPr="00F43E29">
        <w:rPr>
          <w:rFonts w:ascii="Arial" w:hAnsi="Arial" w:cs="Arial"/>
          <w:sz w:val="22"/>
          <w:szCs w:val="22"/>
        </w:rPr>
        <w:t>failed to</w:t>
      </w:r>
      <w:r w:rsidR="00464E7C" w:rsidRPr="00F43E29">
        <w:rPr>
          <w:rFonts w:ascii="Arial" w:hAnsi="Arial" w:cs="Arial"/>
          <w:sz w:val="22"/>
          <w:szCs w:val="22"/>
        </w:rPr>
        <w:t xml:space="preserve"> attend the</w:t>
      </w:r>
      <w:r w:rsidR="00FD2A7C" w:rsidRPr="00F43E29">
        <w:rPr>
          <w:rFonts w:ascii="Arial" w:hAnsi="Arial" w:cs="Arial"/>
          <w:sz w:val="22"/>
          <w:szCs w:val="22"/>
        </w:rPr>
        <w:t>ir</w:t>
      </w:r>
      <w:r w:rsidR="00464E7C" w:rsidRPr="00F43E29">
        <w:rPr>
          <w:rFonts w:ascii="Arial" w:hAnsi="Arial" w:cs="Arial"/>
          <w:sz w:val="22"/>
          <w:szCs w:val="22"/>
        </w:rPr>
        <w:t xml:space="preserve"> original</w:t>
      </w:r>
      <w:r w:rsidR="00295218" w:rsidRPr="00F43E29">
        <w:rPr>
          <w:rFonts w:ascii="Arial" w:hAnsi="Arial" w:cs="Arial"/>
          <w:sz w:val="22"/>
          <w:szCs w:val="22"/>
        </w:rPr>
        <w:t xml:space="preserve"> hearing</w:t>
      </w:r>
      <w:r w:rsidR="00FD2A7C" w:rsidRPr="00F43E29">
        <w:rPr>
          <w:rFonts w:ascii="Arial" w:hAnsi="Arial" w:cs="Arial"/>
          <w:sz w:val="22"/>
          <w:szCs w:val="22"/>
        </w:rPr>
        <w:t>s</w:t>
      </w:r>
      <w:r>
        <w:rPr>
          <w:rFonts w:ascii="Arial" w:hAnsi="Arial" w:cs="Arial"/>
          <w:sz w:val="22"/>
          <w:szCs w:val="22"/>
        </w:rPr>
        <w:t xml:space="preserve"> </w:t>
      </w:r>
      <w:r w:rsidR="00725AC0">
        <w:rPr>
          <w:rFonts w:ascii="Arial" w:hAnsi="Arial" w:cs="Arial"/>
          <w:sz w:val="22"/>
          <w:szCs w:val="22"/>
        </w:rPr>
        <w:t>and also</w:t>
      </w:r>
      <w:r>
        <w:rPr>
          <w:rFonts w:ascii="Arial" w:hAnsi="Arial" w:cs="Arial"/>
          <w:sz w:val="22"/>
          <w:szCs w:val="22"/>
        </w:rPr>
        <w:t xml:space="preserve"> failed to attend </w:t>
      </w:r>
      <w:r w:rsidR="00FD2A7C" w:rsidRPr="00F43E29">
        <w:rPr>
          <w:rFonts w:ascii="Arial" w:hAnsi="Arial" w:cs="Arial"/>
          <w:sz w:val="22"/>
          <w:szCs w:val="22"/>
        </w:rPr>
        <w:t>a</w:t>
      </w:r>
      <w:r w:rsidR="00295218" w:rsidRPr="00F43E29">
        <w:rPr>
          <w:rFonts w:ascii="Arial" w:hAnsi="Arial" w:cs="Arial"/>
          <w:sz w:val="22"/>
          <w:szCs w:val="22"/>
        </w:rPr>
        <w:t xml:space="preserve"> </w:t>
      </w:r>
      <w:r w:rsidR="00464E7C" w:rsidRPr="00F43E29">
        <w:rPr>
          <w:rFonts w:ascii="Arial" w:hAnsi="Arial" w:cs="Arial"/>
          <w:sz w:val="22"/>
          <w:szCs w:val="22"/>
        </w:rPr>
        <w:t xml:space="preserve">first review one year </w:t>
      </w:r>
      <w:r>
        <w:rPr>
          <w:rFonts w:ascii="Arial" w:hAnsi="Arial" w:cs="Arial"/>
          <w:sz w:val="22"/>
          <w:szCs w:val="22"/>
        </w:rPr>
        <w:t>after their original hearings, but</w:t>
      </w:r>
      <w:r w:rsidR="00464E7C" w:rsidRPr="00F43E29">
        <w:rPr>
          <w:rFonts w:ascii="Arial" w:hAnsi="Arial" w:cs="Arial"/>
          <w:sz w:val="22"/>
          <w:szCs w:val="22"/>
        </w:rPr>
        <w:t xml:space="preserve"> </w:t>
      </w:r>
      <w:r>
        <w:rPr>
          <w:rFonts w:ascii="Arial" w:hAnsi="Arial" w:cs="Arial"/>
          <w:sz w:val="22"/>
          <w:szCs w:val="22"/>
        </w:rPr>
        <w:t>b</w:t>
      </w:r>
      <w:r w:rsidR="00FD2A7C" w:rsidRPr="00F43E29">
        <w:rPr>
          <w:rFonts w:ascii="Arial" w:hAnsi="Arial" w:cs="Arial"/>
          <w:sz w:val="22"/>
          <w:szCs w:val="22"/>
        </w:rPr>
        <w:t>oth</w:t>
      </w:r>
      <w:r>
        <w:rPr>
          <w:rFonts w:ascii="Arial" w:hAnsi="Arial" w:cs="Arial"/>
          <w:sz w:val="22"/>
          <w:szCs w:val="22"/>
        </w:rPr>
        <w:t xml:space="preserve"> </w:t>
      </w:r>
      <w:r w:rsidR="00FD2A7C" w:rsidRPr="00F43E29">
        <w:rPr>
          <w:rFonts w:ascii="Arial" w:hAnsi="Arial" w:cs="Arial"/>
          <w:sz w:val="22"/>
          <w:szCs w:val="22"/>
        </w:rPr>
        <w:t>the</w:t>
      </w:r>
      <w:r w:rsidR="00725AC0">
        <w:rPr>
          <w:rFonts w:ascii="Arial" w:hAnsi="Arial" w:cs="Arial"/>
          <w:sz w:val="22"/>
          <w:szCs w:val="22"/>
        </w:rPr>
        <w:t>reafter</w:t>
      </w:r>
      <w:r w:rsidR="00FD2A7C" w:rsidRPr="00F43E29">
        <w:rPr>
          <w:rFonts w:ascii="Arial" w:hAnsi="Arial" w:cs="Arial"/>
          <w:sz w:val="22"/>
          <w:szCs w:val="22"/>
        </w:rPr>
        <w:t xml:space="preserve"> appeared to engage with proceedings.  At second review hearings </w:t>
      </w:r>
      <w:r w:rsidR="00725AC0">
        <w:rPr>
          <w:rFonts w:ascii="Arial" w:hAnsi="Arial" w:cs="Arial"/>
          <w:sz w:val="22"/>
          <w:szCs w:val="22"/>
        </w:rPr>
        <w:t xml:space="preserve">in 2018, </w:t>
      </w:r>
      <w:r w:rsidR="00725AC0" w:rsidRPr="00F43E29">
        <w:rPr>
          <w:rFonts w:ascii="Arial" w:hAnsi="Arial" w:cs="Arial"/>
          <w:sz w:val="22"/>
          <w:szCs w:val="22"/>
        </w:rPr>
        <w:t xml:space="preserve">two years </w:t>
      </w:r>
      <w:r w:rsidR="00FD2A7C" w:rsidRPr="00F43E29">
        <w:rPr>
          <w:rFonts w:ascii="Arial" w:hAnsi="Arial" w:cs="Arial"/>
          <w:sz w:val="22"/>
          <w:szCs w:val="22"/>
        </w:rPr>
        <w:t>after the initial hearings,</w:t>
      </w:r>
      <w:r w:rsidR="003D4AB8">
        <w:rPr>
          <w:rFonts w:ascii="Arial" w:hAnsi="Arial" w:cs="Arial"/>
          <w:sz w:val="22"/>
          <w:szCs w:val="22"/>
        </w:rPr>
        <w:t xml:space="preserve"> </w:t>
      </w:r>
      <w:r w:rsidR="00FD2A7C" w:rsidRPr="00F43E29">
        <w:rPr>
          <w:rFonts w:ascii="Arial" w:hAnsi="Arial" w:cs="Arial"/>
          <w:sz w:val="22"/>
          <w:szCs w:val="22"/>
        </w:rPr>
        <w:t xml:space="preserve">one </w:t>
      </w:r>
      <w:r w:rsidR="00464E7C" w:rsidRPr="00F43E29">
        <w:rPr>
          <w:rFonts w:ascii="Arial" w:hAnsi="Arial" w:cs="Arial"/>
          <w:sz w:val="22"/>
          <w:szCs w:val="22"/>
        </w:rPr>
        <w:t>attended by telephone</w:t>
      </w:r>
      <w:r w:rsidR="00FD2A7C" w:rsidRPr="00F43E29">
        <w:rPr>
          <w:rFonts w:ascii="Arial" w:hAnsi="Arial" w:cs="Arial"/>
          <w:sz w:val="22"/>
          <w:szCs w:val="22"/>
        </w:rPr>
        <w:t xml:space="preserve"> and the other in person.</w:t>
      </w:r>
      <w:r w:rsidR="00464E7C" w:rsidRPr="00F43E29">
        <w:rPr>
          <w:rFonts w:ascii="Arial" w:hAnsi="Arial" w:cs="Arial"/>
          <w:sz w:val="22"/>
          <w:szCs w:val="22"/>
        </w:rPr>
        <w:t xml:space="preserve"> </w:t>
      </w:r>
      <w:r w:rsidR="00FD2A7C" w:rsidRPr="00F43E29">
        <w:rPr>
          <w:rFonts w:ascii="Arial" w:hAnsi="Arial" w:cs="Arial"/>
          <w:sz w:val="22"/>
          <w:szCs w:val="22"/>
        </w:rPr>
        <w:t xml:space="preserve">In </w:t>
      </w:r>
      <w:r w:rsidR="00464E7C" w:rsidRPr="00F43E29">
        <w:rPr>
          <w:rFonts w:ascii="Arial" w:hAnsi="Arial" w:cs="Arial"/>
          <w:sz w:val="22"/>
          <w:szCs w:val="22"/>
        </w:rPr>
        <w:t>2019</w:t>
      </w:r>
      <w:r w:rsidR="00295218" w:rsidRPr="00F43E29">
        <w:rPr>
          <w:rFonts w:ascii="Arial" w:hAnsi="Arial" w:cs="Arial"/>
          <w:sz w:val="22"/>
          <w:szCs w:val="22"/>
        </w:rPr>
        <w:t>, three years after the original hearing</w:t>
      </w:r>
      <w:r w:rsidR="00FD2A7C" w:rsidRPr="00F43E29">
        <w:rPr>
          <w:rFonts w:ascii="Arial" w:hAnsi="Arial" w:cs="Arial"/>
          <w:sz w:val="22"/>
          <w:szCs w:val="22"/>
        </w:rPr>
        <w:t>s</w:t>
      </w:r>
      <w:r w:rsidR="00295218" w:rsidRPr="00F43E29">
        <w:rPr>
          <w:rFonts w:ascii="Arial" w:hAnsi="Arial" w:cs="Arial"/>
          <w:sz w:val="22"/>
          <w:szCs w:val="22"/>
        </w:rPr>
        <w:t>,</w:t>
      </w:r>
      <w:r w:rsidR="00464E7C" w:rsidRPr="00F43E29">
        <w:rPr>
          <w:rFonts w:ascii="Arial" w:hAnsi="Arial" w:cs="Arial"/>
          <w:sz w:val="22"/>
          <w:szCs w:val="22"/>
        </w:rPr>
        <w:t xml:space="preserve"> </w:t>
      </w:r>
      <w:r w:rsidR="00FD2A7C" w:rsidRPr="00F43E29">
        <w:rPr>
          <w:rFonts w:ascii="Arial" w:hAnsi="Arial" w:cs="Arial"/>
          <w:sz w:val="22"/>
          <w:szCs w:val="22"/>
        </w:rPr>
        <w:t xml:space="preserve">both </w:t>
      </w:r>
      <w:r w:rsidR="00464E7C" w:rsidRPr="00F43E29">
        <w:rPr>
          <w:rFonts w:ascii="Arial" w:hAnsi="Arial" w:cs="Arial"/>
          <w:sz w:val="22"/>
          <w:szCs w:val="22"/>
        </w:rPr>
        <w:t>attended in person</w:t>
      </w:r>
      <w:r w:rsidR="00725AC0">
        <w:rPr>
          <w:rFonts w:ascii="Arial" w:hAnsi="Arial" w:cs="Arial"/>
          <w:sz w:val="22"/>
          <w:szCs w:val="22"/>
        </w:rPr>
        <w:t xml:space="preserve"> before the Committee.</w:t>
      </w:r>
      <w:r w:rsidR="00FD2A7C" w:rsidRPr="00F43E29">
        <w:rPr>
          <w:rFonts w:ascii="Arial" w:hAnsi="Arial" w:cs="Arial"/>
          <w:sz w:val="22"/>
          <w:szCs w:val="22"/>
        </w:rPr>
        <w:t xml:space="preserve">  </w:t>
      </w:r>
    </w:p>
    <w:p w14:paraId="5B774D46" w14:textId="77777777" w:rsidR="003D4AB8" w:rsidRPr="005D2B86" w:rsidRDefault="003D4AB8" w:rsidP="005D2B86">
      <w:pPr>
        <w:rPr>
          <w:rFonts w:ascii="Arial" w:hAnsi="Arial" w:cs="Arial"/>
          <w:sz w:val="22"/>
          <w:szCs w:val="22"/>
        </w:rPr>
      </w:pPr>
    </w:p>
    <w:p w14:paraId="5096B859" w14:textId="77777777" w:rsidR="00D05A8E" w:rsidRDefault="00D05A8E" w:rsidP="003D4AB8">
      <w:pPr>
        <w:rPr>
          <w:rFonts w:ascii="Arial" w:hAnsi="Arial" w:cs="Arial"/>
          <w:sz w:val="22"/>
          <w:szCs w:val="22"/>
        </w:rPr>
      </w:pPr>
    </w:p>
    <w:p w14:paraId="41E07863" w14:textId="2BB1A18F" w:rsidR="003D4AB8" w:rsidRDefault="003D4AB8" w:rsidP="003D4AB8">
      <w:pPr>
        <w:rPr>
          <w:rFonts w:ascii="Arial" w:hAnsi="Arial" w:cs="Arial"/>
          <w:sz w:val="22"/>
          <w:szCs w:val="22"/>
        </w:rPr>
      </w:pPr>
      <w:r>
        <w:rPr>
          <w:rFonts w:ascii="Arial" w:hAnsi="Arial" w:cs="Arial"/>
          <w:sz w:val="22"/>
          <w:szCs w:val="22"/>
        </w:rPr>
        <w:t xml:space="preserve">Of </w:t>
      </w:r>
      <w:r w:rsidR="00D05A8E">
        <w:rPr>
          <w:rFonts w:ascii="Arial" w:hAnsi="Arial" w:cs="Arial"/>
          <w:sz w:val="22"/>
          <w:szCs w:val="22"/>
        </w:rPr>
        <w:t>the</w:t>
      </w:r>
      <w:r>
        <w:rPr>
          <w:rFonts w:ascii="Arial" w:hAnsi="Arial" w:cs="Arial"/>
          <w:sz w:val="22"/>
          <w:szCs w:val="22"/>
        </w:rPr>
        <w:t xml:space="preserve"> </w:t>
      </w:r>
      <w:r w:rsidR="00AE1063">
        <w:rPr>
          <w:rFonts w:ascii="Arial" w:hAnsi="Arial" w:cs="Arial"/>
          <w:sz w:val="22"/>
          <w:szCs w:val="22"/>
        </w:rPr>
        <w:t>eight</w:t>
      </w:r>
      <w:r w:rsidR="00D05A8E">
        <w:rPr>
          <w:rFonts w:ascii="Arial" w:hAnsi="Arial" w:cs="Arial"/>
          <w:sz w:val="22"/>
          <w:szCs w:val="22"/>
        </w:rPr>
        <w:t xml:space="preserve"> (</w:t>
      </w:r>
      <w:r w:rsidR="00AE1063">
        <w:rPr>
          <w:rFonts w:ascii="Arial" w:hAnsi="Arial" w:cs="Arial"/>
          <w:sz w:val="22"/>
          <w:szCs w:val="22"/>
        </w:rPr>
        <w:t>8</w:t>
      </w:r>
      <w:r w:rsidR="00D05A8E">
        <w:rPr>
          <w:rFonts w:ascii="Arial" w:hAnsi="Arial" w:cs="Arial"/>
          <w:sz w:val="22"/>
          <w:szCs w:val="22"/>
        </w:rPr>
        <w:t xml:space="preserve">) </w:t>
      </w:r>
      <w:r>
        <w:rPr>
          <w:rFonts w:ascii="Arial" w:hAnsi="Arial" w:cs="Arial"/>
          <w:sz w:val="22"/>
          <w:szCs w:val="22"/>
        </w:rPr>
        <w:t xml:space="preserve">identified registrants where </w:t>
      </w:r>
      <w:r w:rsidR="005D2B86">
        <w:rPr>
          <w:rFonts w:ascii="Arial" w:hAnsi="Arial" w:cs="Arial"/>
          <w:sz w:val="22"/>
          <w:szCs w:val="22"/>
        </w:rPr>
        <w:t xml:space="preserve"> their </w:t>
      </w:r>
      <w:r w:rsidR="00AE1063">
        <w:rPr>
          <w:rFonts w:ascii="Arial" w:hAnsi="Arial" w:cs="Arial"/>
          <w:sz w:val="22"/>
          <w:szCs w:val="22"/>
        </w:rPr>
        <w:t>fitness to practi</w:t>
      </w:r>
      <w:r w:rsidR="005D2B86">
        <w:rPr>
          <w:rFonts w:ascii="Arial" w:hAnsi="Arial" w:cs="Arial"/>
          <w:sz w:val="22"/>
          <w:szCs w:val="22"/>
        </w:rPr>
        <w:t>s</w:t>
      </w:r>
      <w:r w:rsidR="00AE1063">
        <w:rPr>
          <w:rFonts w:ascii="Arial" w:hAnsi="Arial" w:cs="Arial"/>
          <w:sz w:val="22"/>
          <w:szCs w:val="22"/>
        </w:rPr>
        <w:t>e was</w:t>
      </w:r>
      <w:r>
        <w:rPr>
          <w:rFonts w:ascii="Arial" w:hAnsi="Arial" w:cs="Arial"/>
          <w:sz w:val="22"/>
          <w:szCs w:val="22"/>
        </w:rPr>
        <w:t xml:space="preserve"> first considered</w:t>
      </w:r>
      <w:r w:rsidR="00AE1063">
        <w:rPr>
          <w:rFonts w:ascii="Arial" w:hAnsi="Arial" w:cs="Arial"/>
          <w:sz w:val="22"/>
          <w:szCs w:val="22"/>
        </w:rPr>
        <w:t xml:space="preserve"> </w:t>
      </w:r>
      <w:r>
        <w:rPr>
          <w:rFonts w:ascii="Arial" w:hAnsi="Arial" w:cs="Arial"/>
          <w:sz w:val="22"/>
          <w:szCs w:val="22"/>
        </w:rPr>
        <w:t xml:space="preserve">by a Professional Conduct Committee </w:t>
      </w:r>
      <w:r w:rsidR="00B1660C">
        <w:rPr>
          <w:rFonts w:ascii="Arial" w:hAnsi="Arial" w:cs="Arial"/>
          <w:sz w:val="22"/>
          <w:szCs w:val="22"/>
        </w:rPr>
        <w:t xml:space="preserve">at </w:t>
      </w:r>
      <w:r w:rsidR="005D2B86">
        <w:rPr>
          <w:rFonts w:ascii="Arial" w:hAnsi="Arial" w:cs="Arial"/>
          <w:sz w:val="22"/>
          <w:szCs w:val="22"/>
        </w:rPr>
        <w:t xml:space="preserve">a </w:t>
      </w:r>
      <w:r w:rsidR="00B1660C">
        <w:rPr>
          <w:rFonts w:ascii="Arial" w:hAnsi="Arial" w:cs="Arial"/>
          <w:sz w:val="22"/>
          <w:szCs w:val="22"/>
        </w:rPr>
        <w:t xml:space="preserve">hearing </w:t>
      </w:r>
      <w:r>
        <w:rPr>
          <w:rFonts w:ascii="Arial" w:hAnsi="Arial" w:cs="Arial"/>
          <w:sz w:val="22"/>
          <w:szCs w:val="22"/>
        </w:rPr>
        <w:t>during 2019:</w:t>
      </w:r>
    </w:p>
    <w:p w14:paraId="1E320488" w14:textId="7FE49B63" w:rsidR="003D4AB8" w:rsidRDefault="003D4AB8" w:rsidP="003D4AB8">
      <w:pPr>
        <w:rPr>
          <w:rFonts w:ascii="Arial" w:hAnsi="Arial" w:cs="Arial"/>
          <w:sz w:val="22"/>
          <w:szCs w:val="22"/>
        </w:rPr>
      </w:pPr>
    </w:p>
    <w:p w14:paraId="002A17D6" w14:textId="77777777" w:rsidR="003D4AB8" w:rsidRPr="003D4AB8" w:rsidRDefault="003D4AB8" w:rsidP="003D4AB8">
      <w:pPr>
        <w:rPr>
          <w:rFonts w:ascii="Arial" w:hAnsi="Arial" w:cs="Arial"/>
          <w:sz w:val="22"/>
          <w:szCs w:val="22"/>
        </w:rPr>
      </w:pPr>
    </w:p>
    <w:p w14:paraId="38A70695" w14:textId="2844DFD1" w:rsidR="00DB596B" w:rsidRDefault="00E42A99" w:rsidP="00E42A99">
      <w:pPr>
        <w:pStyle w:val="ListParagraph"/>
        <w:numPr>
          <w:ilvl w:val="0"/>
          <w:numId w:val="6"/>
        </w:numPr>
        <w:rPr>
          <w:rFonts w:ascii="Arial" w:hAnsi="Arial" w:cs="Arial"/>
          <w:sz w:val="22"/>
          <w:szCs w:val="22"/>
        </w:rPr>
      </w:pPr>
      <w:r>
        <w:rPr>
          <w:rFonts w:ascii="Arial" w:hAnsi="Arial" w:cs="Arial"/>
          <w:sz w:val="22"/>
          <w:szCs w:val="22"/>
        </w:rPr>
        <w:t xml:space="preserve">Three were not present and </w:t>
      </w:r>
      <w:r w:rsidR="00814209">
        <w:rPr>
          <w:rFonts w:ascii="Arial" w:hAnsi="Arial" w:cs="Arial"/>
          <w:sz w:val="22"/>
          <w:szCs w:val="22"/>
        </w:rPr>
        <w:t xml:space="preserve">were </w:t>
      </w:r>
      <w:r>
        <w:rPr>
          <w:rFonts w:ascii="Arial" w:hAnsi="Arial" w:cs="Arial"/>
          <w:sz w:val="22"/>
          <w:szCs w:val="22"/>
        </w:rPr>
        <w:t>not represented</w:t>
      </w:r>
      <w:r w:rsidR="00814209">
        <w:rPr>
          <w:rFonts w:ascii="Arial" w:hAnsi="Arial" w:cs="Arial"/>
          <w:sz w:val="22"/>
          <w:szCs w:val="22"/>
        </w:rPr>
        <w:t>.</w:t>
      </w:r>
    </w:p>
    <w:p w14:paraId="619BFA0E" w14:textId="25AAE5F6" w:rsidR="00E42A99" w:rsidRDefault="00E42A99" w:rsidP="00E42A99">
      <w:pPr>
        <w:pStyle w:val="ListParagraph"/>
        <w:numPr>
          <w:ilvl w:val="0"/>
          <w:numId w:val="6"/>
        </w:numPr>
        <w:rPr>
          <w:rFonts w:ascii="Arial" w:hAnsi="Arial" w:cs="Arial"/>
          <w:sz w:val="22"/>
          <w:szCs w:val="22"/>
        </w:rPr>
      </w:pPr>
      <w:r>
        <w:rPr>
          <w:rFonts w:ascii="Arial" w:hAnsi="Arial" w:cs="Arial"/>
          <w:sz w:val="22"/>
          <w:szCs w:val="22"/>
        </w:rPr>
        <w:t xml:space="preserve">One attended by telephone, </w:t>
      </w:r>
      <w:r w:rsidR="00814209">
        <w:rPr>
          <w:rFonts w:ascii="Arial" w:hAnsi="Arial" w:cs="Arial"/>
          <w:sz w:val="22"/>
          <w:szCs w:val="22"/>
        </w:rPr>
        <w:t>and self-represented.</w:t>
      </w:r>
    </w:p>
    <w:p w14:paraId="161C1451" w14:textId="1322BD6A" w:rsidR="00E42A99" w:rsidRDefault="00E42A99" w:rsidP="00E42A99">
      <w:pPr>
        <w:pStyle w:val="ListParagraph"/>
        <w:numPr>
          <w:ilvl w:val="0"/>
          <w:numId w:val="6"/>
        </w:numPr>
        <w:rPr>
          <w:rFonts w:ascii="Arial" w:hAnsi="Arial" w:cs="Arial"/>
          <w:sz w:val="22"/>
          <w:szCs w:val="22"/>
        </w:rPr>
      </w:pPr>
      <w:r>
        <w:rPr>
          <w:rFonts w:ascii="Arial" w:hAnsi="Arial" w:cs="Arial"/>
          <w:sz w:val="22"/>
          <w:szCs w:val="22"/>
        </w:rPr>
        <w:t>One attended by Skype, and self-represented.</w:t>
      </w:r>
    </w:p>
    <w:p w14:paraId="592FA1EF" w14:textId="0EE1B0C3" w:rsidR="00E42A99" w:rsidRDefault="00AE1063" w:rsidP="00E42A99">
      <w:pPr>
        <w:pStyle w:val="ListParagraph"/>
        <w:numPr>
          <w:ilvl w:val="0"/>
          <w:numId w:val="6"/>
        </w:numPr>
        <w:rPr>
          <w:rFonts w:ascii="Arial" w:hAnsi="Arial" w:cs="Arial"/>
          <w:sz w:val="22"/>
          <w:szCs w:val="22"/>
        </w:rPr>
      </w:pPr>
      <w:r>
        <w:rPr>
          <w:rFonts w:ascii="Arial" w:hAnsi="Arial" w:cs="Arial"/>
          <w:sz w:val="22"/>
          <w:szCs w:val="22"/>
        </w:rPr>
        <w:t xml:space="preserve">One </w:t>
      </w:r>
      <w:r w:rsidR="003D7E83">
        <w:rPr>
          <w:rFonts w:ascii="Arial" w:hAnsi="Arial" w:cs="Arial"/>
          <w:sz w:val="22"/>
          <w:szCs w:val="22"/>
        </w:rPr>
        <w:t>w</w:t>
      </w:r>
      <w:r>
        <w:rPr>
          <w:rFonts w:ascii="Arial" w:hAnsi="Arial" w:cs="Arial"/>
          <w:sz w:val="22"/>
          <w:szCs w:val="22"/>
        </w:rPr>
        <w:t>as</w:t>
      </w:r>
      <w:r w:rsidR="00E42A99">
        <w:rPr>
          <w:rFonts w:ascii="Arial" w:hAnsi="Arial" w:cs="Arial"/>
          <w:sz w:val="22"/>
          <w:szCs w:val="22"/>
        </w:rPr>
        <w:t xml:space="preserve"> present </w:t>
      </w:r>
      <w:r w:rsidR="000C2527">
        <w:rPr>
          <w:rFonts w:ascii="Arial" w:hAnsi="Arial" w:cs="Arial"/>
          <w:sz w:val="22"/>
          <w:szCs w:val="22"/>
        </w:rPr>
        <w:t xml:space="preserve">in person </w:t>
      </w:r>
      <w:r w:rsidR="00E42A99">
        <w:rPr>
          <w:rFonts w:ascii="Arial" w:hAnsi="Arial" w:cs="Arial"/>
          <w:sz w:val="22"/>
          <w:szCs w:val="22"/>
        </w:rPr>
        <w:t>and self</w:t>
      </w:r>
      <w:r w:rsidR="000C2527">
        <w:rPr>
          <w:rFonts w:ascii="Arial" w:hAnsi="Arial" w:cs="Arial"/>
          <w:sz w:val="22"/>
          <w:szCs w:val="22"/>
        </w:rPr>
        <w:t>-</w:t>
      </w:r>
      <w:r w:rsidR="00E42A99">
        <w:rPr>
          <w:rFonts w:ascii="Arial" w:hAnsi="Arial" w:cs="Arial"/>
          <w:sz w:val="22"/>
          <w:szCs w:val="22"/>
        </w:rPr>
        <w:t xml:space="preserve">represented </w:t>
      </w:r>
    </w:p>
    <w:p w14:paraId="235E64A7" w14:textId="409607EE" w:rsidR="00E42A99" w:rsidRDefault="003D7E83" w:rsidP="00E42A99">
      <w:pPr>
        <w:pStyle w:val="ListParagraph"/>
        <w:numPr>
          <w:ilvl w:val="0"/>
          <w:numId w:val="6"/>
        </w:numPr>
        <w:rPr>
          <w:rFonts w:ascii="Arial" w:hAnsi="Arial" w:cs="Arial"/>
          <w:sz w:val="22"/>
          <w:szCs w:val="22"/>
        </w:rPr>
      </w:pPr>
      <w:r>
        <w:rPr>
          <w:rFonts w:ascii="Arial" w:hAnsi="Arial" w:cs="Arial"/>
          <w:sz w:val="22"/>
          <w:szCs w:val="22"/>
        </w:rPr>
        <w:t>Two</w:t>
      </w:r>
      <w:r w:rsidR="00E42A99">
        <w:rPr>
          <w:rFonts w:ascii="Arial" w:hAnsi="Arial" w:cs="Arial"/>
          <w:sz w:val="22"/>
          <w:szCs w:val="22"/>
        </w:rPr>
        <w:t xml:space="preserve"> w</w:t>
      </w:r>
      <w:r>
        <w:rPr>
          <w:rFonts w:ascii="Arial" w:hAnsi="Arial" w:cs="Arial"/>
          <w:sz w:val="22"/>
          <w:szCs w:val="22"/>
        </w:rPr>
        <w:t>ere</w:t>
      </w:r>
      <w:r w:rsidR="00E42A99">
        <w:rPr>
          <w:rFonts w:ascii="Arial" w:hAnsi="Arial" w:cs="Arial"/>
          <w:sz w:val="22"/>
          <w:szCs w:val="22"/>
        </w:rPr>
        <w:t xml:space="preserve"> present and represented by counsel.</w:t>
      </w:r>
    </w:p>
    <w:p w14:paraId="56BB0EED" w14:textId="081F55FF" w:rsidR="00B1660C" w:rsidRDefault="00B1660C" w:rsidP="00B1660C">
      <w:pPr>
        <w:rPr>
          <w:rFonts w:ascii="Arial" w:hAnsi="Arial" w:cs="Arial"/>
          <w:sz w:val="22"/>
          <w:szCs w:val="22"/>
        </w:rPr>
      </w:pPr>
    </w:p>
    <w:p w14:paraId="3532D11C" w14:textId="48476B6C" w:rsidR="00B1660C" w:rsidRDefault="00B1660C" w:rsidP="00B1660C">
      <w:pPr>
        <w:rPr>
          <w:rFonts w:ascii="Arial" w:hAnsi="Arial" w:cs="Arial"/>
          <w:sz w:val="22"/>
          <w:szCs w:val="22"/>
          <w:u w:val="single"/>
        </w:rPr>
      </w:pPr>
      <w:r w:rsidRPr="00B1660C">
        <w:rPr>
          <w:rFonts w:ascii="Arial" w:hAnsi="Arial" w:cs="Arial"/>
          <w:sz w:val="22"/>
          <w:szCs w:val="22"/>
          <w:u w:val="single"/>
        </w:rPr>
        <w:t>Charges</w:t>
      </w:r>
    </w:p>
    <w:p w14:paraId="76F0DABC" w14:textId="11044999" w:rsidR="0062054D" w:rsidRDefault="0062054D" w:rsidP="00B1660C">
      <w:pPr>
        <w:rPr>
          <w:rFonts w:ascii="Arial" w:hAnsi="Arial" w:cs="Arial"/>
          <w:sz w:val="22"/>
          <w:szCs w:val="22"/>
          <w:u w:val="single"/>
        </w:rPr>
      </w:pPr>
    </w:p>
    <w:p w14:paraId="7682581E" w14:textId="77777777" w:rsidR="0062054D" w:rsidRDefault="0062054D" w:rsidP="00B1660C">
      <w:pPr>
        <w:rPr>
          <w:rFonts w:ascii="Arial" w:hAnsi="Arial" w:cs="Arial"/>
          <w:sz w:val="22"/>
          <w:szCs w:val="22"/>
        </w:rPr>
      </w:pPr>
      <w:r>
        <w:rPr>
          <w:rFonts w:ascii="Arial" w:hAnsi="Arial" w:cs="Arial"/>
          <w:sz w:val="22"/>
          <w:szCs w:val="22"/>
        </w:rPr>
        <w:t xml:space="preserve">Charges against Dental Technicians involved </w:t>
      </w:r>
      <w:r w:rsidRPr="0062054D">
        <w:rPr>
          <w:rFonts w:ascii="Arial" w:hAnsi="Arial" w:cs="Arial"/>
          <w:sz w:val="22"/>
          <w:szCs w:val="22"/>
        </w:rPr>
        <w:t xml:space="preserve">two </w:t>
      </w:r>
      <w:r>
        <w:rPr>
          <w:rFonts w:ascii="Arial" w:hAnsi="Arial" w:cs="Arial"/>
          <w:sz w:val="22"/>
          <w:szCs w:val="22"/>
        </w:rPr>
        <w:t>main primary areas;</w:t>
      </w:r>
    </w:p>
    <w:p w14:paraId="7786BE58" w14:textId="77777777" w:rsidR="0062054D" w:rsidRDefault="0062054D" w:rsidP="00B1660C">
      <w:pPr>
        <w:rPr>
          <w:rFonts w:ascii="Arial" w:hAnsi="Arial" w:cs="Arial"/>
          <w:sz w:val="22"/>
          <w:szCs w:val="22"/>
        </w:rPr>
      </w:pPr>
    </w:p>
    <w:p w14:paraId="2511F8E0" w14:textId="583DF806" w:rsidR="008B15B5" w:rsidRDefault="0062054D" w:rsidP="0062054D">
      <w:pPr>
        <w:pStyle w:val="ListParagraph"/>
        <w:numPr>
          <w:ilvl w:val="0"/>
          <w:numId w:val="8"/>
        </w:numPr>
        <w:rPr>
          <w:rFonts w:ascii="Arial" w:hAnsi="Arial" w:cs="Arial"/>
          <w:sz w:val="22"/>
          <w:szCs w:val="22"/>
        </w:rPr>
      </w:pPr>
      <w:r>
        <w:rPr>
          <w:rFonts w:ascii="Arial" w:hAnsi="Arial" w:cs="Arial"/>
          <w:sz w:val="22"/>
          <w:szCs w:val="22"/>
        </w:rPr>
        <w:t>Working</w:t>
      </w:r>
      <w:r w:rsidR="00641AE0" w:rsidRPr="0062054D">
        <w:rPr>
          <w:rFonts w:ascii="Arial" w:hAnsi="Arial" w:cs="Arial"/>
          <w:sz w:val="22"/>
          <w:szCs w:val="22"/>
        </w:rPr>
        <w:t xml:space="preserve"> or offering to work outside the registrant’s scope of practice</w:t>
      </w:r>
      <w:r>
        <w:rPr>
          <w:rFonts w:ascii="Arial" w:hAnsi="Arial" w:cs="Arial"/>
          <w:sz w:val="22"/>
          <w:szCs w:val="22"/>
        </w:rPr>
        <w:t>.</w:t>
      </w:r>
      <w:r w:rsidR="00641AE0" w:rsidRPr="0062054D">
        <w:rPr>
          <w:rFonts w:ascii="Arial" w:hAnsi="Arial" w:cs="Arial"/>
          <w:sz w:val="22"/>
          <w:szCs w:val="22"/>
        </w:rPr>
        <w:t xml:space="preserve"> </w:t>
      </w:r>
      <w:r>
        <w:rPr>
          <w:rFonts w:ascii="Arial" w:hAnsi="Arial" w:cs="Arial"/>
          <w:sz w:val="22"/>
          <w:szCs w:val="22"/>
        </w:rPr>
        <w:t xml:space="preserve"> These </w:t>
      </w:r>
      <w:r w:rsidR="00641AE0" w:rsidRPr="0062054D">
        <w:rPr>
          <w:rFonts w:ascii="Arial" w:hAnsi="Arial" w:cs="Arial"/>
          <w:sz w:val="22"/>
          <w:szCs w:val="22"/>
        </w:rPr>
        <w:t xml:space="preserve">featured in </w:t>
      </w:r>
      <w:r w:rsidRPr="0062054D">
        <w:rPr>
          <w:rFonts w:ascii="Arial" w:hAnsi="Arial" w:cs="Arial"/>
          <w:sz w:val="22"/>
          <w:szCs w:val="22"/>
        </w:rPr>
        <w:t>ten (10) of the cases.</w:t>
      </w:r>
    </w:p>
    <w:p w14:paraId="5C60DAA4" w14:textId="3AA621CD" w:rsidR="0062054D" w:rsidRDefault="0062054D" w:rsidP="0062054D">
      <w:pPr>
        <w:pStyle w:val="ListParagraph"/>
        <w:numPr>
          <w:ilvl w:val="0"/>
          <w:numId w:val="8"/>
        </w:numPr>
        <w:rPr>
          <w:rFonts w:ascii="Arial" w:hAnsi="Arial" w:cs="Arial"/>
          <w:sz w:val="22"/>
          <w:szCs w:val="22"/>
        </w:rPr>
      </w:pPr>
      <w:r>
        <w:rPr>
          <w:rFonts w:ascii="Arial" w:hAnsi="Arial" w:cs="Arial"/>
          <w:sz w:val="22"/>
          <w:szCs w:val="22"/>
        </w:rPr>
        <w:t xml:space="preserve">Criminal convictions or cautions/failing to notify the GDC of same.  These featured in </w:t>
      </w:r>
      <w:r w:rsidR="00902668">
        <w:rPr>
          <w:rFonts w:ascii="Arial" w:hAnsi="Arial" w:cs="Arial"/>
          <w:sz w:val="22"/>
          <w:szCs w:val="22"/>
        </w:rPr>
        <w:t>four (4) of the cases.</w:t>
      </w:r>
    </w:p>
    <w:p w14:paraId="126B93BC" w14:textId="6F1D502B" w:rsidR="00902668" w:rsidRDefault="00902668" w:rsidP="00902668">
      <w:pPr>
        <w:rPr>
          <w:rFonts w:ascii="Arial" w:hAnsi="Arial" w:cs="Arial"/>
          <w:sz w:val="22"/>
          <w:szCs w:val="22"/>
        </w:rPr>
      </w:pPr>
    </w:p>
    <w:p w14:paraId="0D53A8B9" w14:textId="39266398" w:rsidR="00403FFC" w:rsidRDefault="00902668" w:rsidP="00902668">
      <w:pPr>
        <w:rPr>
          <w:rFonts w:ascii="Arial" w:hAnsi="Arial" w:cs="Arial"/>
          <w:sz w:val="22"/>
          <w:szCs w:val="22"/>
        </w:rPr>
      </w:pPr>
      <w:r>
        <w:rPr>
          <w:rFonts w:ascii="Arial" w:hAnsi="Arial" w:cs="Arial"/>
          <w:sz w:val="22"/>
          <w:szCs w:val="22"/>
        </w:rPr>
        <w:t xml:space="preserve">In all but </w:t>
      </w:r>
      <w:r w:rsidR="007D76F4">
        <w:rPr>
          <w:rFonts w:ascii="Arial" w:hAnsi="Arial" w:cs="Arial"/>
          <w:sz w:val="22"/>
          <w:szCs w:val="22"/>
        </w:rPr>
        <w:t>two</w:t>
      </w:r>
      <w:r>
        <w:rPr>
          <w:rFonts w:ascii="Arial" w:hAnsi="Arial" w:cs="Arial"/>
          <w:sz w:val="22"/>
          <w:szCs w:val="22"/>
        </w:rPr>
        <w:t xml:space="preserve"> of these fourteen cases, it was charged in addition that the “primary” areas of alleged misconduct meant that </w:t>
      </w:r>
      <w:r w:rsidR="00403FFC">
        <w:rPr>
          <w:rFonts w:ascii="Arial" w:hAnsi="Arial" w:cs="Arial"/>
          <w:sz w:val="22"/>
          <w:szCs w:val="22"/>
        </w:rPr>
        <w:t>the registrant’s actions were:</w:t>
      </w:r>
    </w:p>
    <w:p w14:paraId="1594685E" w14:textId="7974949E" w:rsidR="00403FFC" w:rsidRDefault="00403FFC" w:rsidP="00902668">
      <w:pPr>
        <w:rPr>
          <w:rFonts w:ascii="Arial" w:hAnsi="Arial" w:cs="Arial"/>
          <w:sz w:val="22"/>
          <w:szCs w:val="22"/>
        </w:rPr>
      </w:pPr>
    </w:p>
    <w:p w14:paraId="087673A1" w14:textId="4ACD5255" w:rsidR="00403FFC" w:rsidRDefault="00403FFC" w:rsidP="00403FFC">
      <w:pPr>
        <w:pStyle w:val="ListParagraph"/>
        <w:numPr>
          <w:ilvl w:val="0"/>
          <w:numId w:val="9"/>
        </w:numPr>
        <w:rPr>
          <w:rFonts w:ascii="Arial" w:hAnsi="Arial" w:cs="Arial"/>
          <w:sz w:val="22"/>
          <w:szCs w:val="22"/>
        </w:rPr>
      </w:pPr>
      <w:r>
        <w:rPr>
          <w:rFonts w:ascii="Arial" w:hAnsi="Arial" w:cs="Arial"/>
          <w:sz w:val="22"/>
          <w:szCs w:val="22"/>
        </w:rPr>
        <w:t>Misleading; and</w:t>
      </w:r>
    </w:p>
    <w:p w14:paraId="5D5B5294" w14:textId="416E2260" w:rsidR="00403FFC" w:rsidRDefault="00403FFC" w:rsidP="00403FFC">
      <w:pPr>
        <w:pStyle w:val="ListParagraph"/>
        <w:numPr>
          <w:ilvl w:val="0"/>
          <w:numId w:val="9"/>
        </w:numPr>
        <w:rPr>
          <w:rFonts w:ascii="Arial" w:hAnsi="Arial" w:cs="Arial"/>
          <w:sz w:val="22"/>
          <w:szCs w:val="22"/>
        </w:rPr>
      </w:pPr>
      <w:r>
        <w:rPr>
          <w:rFonts w:ascii="Arial" w:hAnsi="Arial" w:cs="Arial"/>
          <w:sz w:val="22"/>
          <w:szCs w:val="22"/>
        </w:rPr>
        <w:t>Dishonest.</w:t>
      </w:r>
    </w:p>
    <w:p w14:paraId="7177924E" w14:textId="4D6784C0" w:rsidR="00403FFC" w:rsidRDefault="00403FFC" w:rsidP="00403FFC">
      <w:pPr>
        <w:rPr>
          <w:rFonts w:ascii="Arial" w:hAnsi="Arial" w:cs="Arial"/>
          <w:sz w:val="22"/>
          <w:szCs w:val="22"/>
        </w:rPr>
      </w:pPr>
    </w:p>
    <w:p w14:paraId="175C9E4E" w14:textId="1CC75FCE" w:rsidR="00403FFC" w:rsidRPr="00403FFC" w:rsidRDefault="00403FFC" w:rsidP="00403FFC">
      <w:pPr>
        <w:rPr>
          <w:rFonts w:ascii="Arial" w:hAnsi="Arial" w:cs="Arial"/>
          <w:sz w:val="22"/>
          <w:szCs w:val="22"/>
        </w:rPr>
      </w:pPr>
      <w:r>
        <w:rPr>
          <w:rFonts w:ascii="Arial" w:hAnsi="Arial" w:cs="Arial"/>
          <w:sz w:val="22"/>
          <w:szCs w:val="22"/>
        </w:rPr>
        <w:t xml:space="preserve">In a number of cases it was additionally charged that the actions </w:t>
      </w:r>
      <w:r w:rsidR="00081357">
        <w:rPr>
          <w:rFonts w:ascii="Arial" w:hAnsi="Arial" w:cs="Arial"/>
          <w:sz w:val="22"/>
          <w:szCs w:val="22"/>
        </w:rPr>
        <w:t>also evidenced</w:t>
      </w:r>
      <w:r>
        <w:rPr>
          <w:rFonts w:ascii="Arial" w:hAnsi="Arial" w:cs="Arial"/>
          <w:sz w:val="22"/>
          <w:szCs w:val="22"/>
        </w:rPr>
        <w:t xml:space="preserve"> a lack of integrity</w:t>
      </w:r>
      <w:r w:rsidR="003944C0">
        <w:rPr>
          <w:rFonts w:ascii="Arial" w:hAnsi="Arial" w:cs="Arial"/>
          <w:sz w:val="22"/>
          <w:szCs w:val="22"/>
        </w:rPr>
        <w:t xml:space="preserve"> and in one case that a patient’s informed consent was not gained as a result of the treatment provided being outside the registrant’s scope of practice</w:t>
      </w:r>
      <w:r>
        <w:rPr>
          <w:rFonts w:ascii="Arial" w:hAnsi="Arial" w:cs="Arial"/>
          <w:sz w:val="22"/>
          <w:szCs w:val="22"/>
        </w:rPr>
        <w:t>.</w:t>
      </w:r>
    </w:p>
    <w:p w14:paraId="7F198358" w14:textId="21C7D142" w:rsidR="00403FFC" w:rsidRDefault="00403FFC" w:rsidP="00403FFC">
      <w:pPr>
        <w:rPr>
          <w:rFonts w:ascii="Arial" w:hAnsi="Arial" w:cs="Arial"/>
          <w:sz w:val="22"/>
          <w:szCs w:val="22"/>
        </w:rPr>
      </w:pPr>
    </w:p>
    <w:p w14:paraId="0CA9B47E" w14:textId="77777777" w:rsidR="007D76F4" w:rsidRDefault="007D76F4" w:rsidP="007D76F4">
      <w:pPr>
        <w:rPr>
          <w:rFonts w:ascii="Arial" w:hAnsi="Arial" w:cs="Arial"/>
          <w:sz w:val="22"/>
          <w:szCs w:val="22"/>
        </w:rPr>
      </w:pPr>
      <w:r>
        <w:rPr>
          <w:rFonts w:ascii="Arial" w:hAnsi="Arial" w:cs="Arial"/>
          <w:sz w:val="22"/>
          <w:szCs w:val="22"/>
        </w:rPr>
        <w:t>A number of charges featured in more than one case:</w:t>
      </w:r>
    </w:p>
    <w:p w14:paraId="29EDF22C" w14:textId="000E8466" w:rsidR="00403FFC" w:rsidRDefault="00992C42" w:rsidP="007D76F4">
      <w:pPr>
        <w:pStyle w:val="ListParagraph"/>
        <w:numPr>
          <w:ilvl w:val="0"/>
          <w:numId w:val="10"/>
        </w:numPr>
        <w:rPr>
          <w:rFonts w:ascii="Arial" w:hAnsi="Arial" w:cs="Arial"/>
          <w:sz w:val="22"/>
          <w:szCs w:val="22"/>
        </w:rPr>
      </w:pPr>
      <w:r>
        <w:rPr>
          <w:rFonts w:ascii="Arial" w:hAnsi="Arial" w:cs="Arial"/>
          <w:sz w:val="22"/>
          <w:szCs w:val="22"/>
        </w:rPr>
        <w:t>F</w:t>
      </w:r>
      <w:r w:rsidR="00403FFC" w:rsidRPr="00403FFC">
        <w:rPr>
          <w:rFonts w:ascii="Arial" w:hAnsi="Arial" w:cs="Arial"/>
          <w:sz w:val="22"/>
          <w:szCs w:val="22"/>
        </w:rPr>
        <w:t>ailure to have in place adequate insurance or indemnity cover</w:t>
      </w:r>
      <w:r w:rsidR="00403FFC">
        <w:rPr>
          <w:rFonts w:ascii="Arial" w:hAnsi="Arial" w:cs="Arial"/>
          <w:sz w:val="22"/>
          <w:szCs w:val="22"/>
        </w:rPr>
        <w:t>;</w:t>
      </w:r>
    </w:p>
    <w:p w14:paraId="7FB570D9" w14:textId="394EEE63" w:rsidR="00992C42" w:rsidRDefault="00403FFC" w:rsidP="00403FFC">
      <w:pPr>
        <w:pStyle w:val="ListParagraph"/>
        <w:numPr>
          <w:ilvl w:val="0"/>
          <w:numId w:val="10"/>
        </w:numPr>
        <w:rPr>
          <w:rFonts w:ascii="Arial" w:hAnsi="Arial" w:cs="Arial"/>
          <w:sz w:val="22"/>
          <w:szCs w:val="22"/>
        </w:rPr>
      </w:pPr>
      <w:r>
        <w:rPr>
          <w:rFonts w:ascii="Arial" w:hAnsi="Arial" w:cs="Arial"/>
          <w:sz w:val="22"/>
          <w:szCs w:val="22"/>
        </w:rPr>
        <w:t>Failure to cooperate with the GDC investigation</w:t>
      </w:r>
      <w:r w:rsidR="00992C42">
        <w:rPr>
          <w:rFonts w:ascii="Arial" w:hAnsi="Arial" w:cs="Arial"/>
          <w:sz w:val="22"/>
          <w:szCs w:val="22"/>
        </w:rPr>
        <w:t xml:space="preserve"> (this was commonly a failure to provide details of insurance or indemnity cover)</w:t>
      </w:r>
      <w:r>
        <w:rPr>
          <w:rFonts w:ascii="Arial" w:hAnsi="Arial" w:cs="Arial"/>
          <w:sz w:val="22"/>
          <w:szCs w:val="22"/>
        </w:rPr>
        <w:t xml:space="preserve">; </w:t>
      </w:r>
    </w:p>
    <w:p w14:paraId="0BAA07A5" w14:textId="3EBCE9C3" w:rsidR="00992C42" w:rsidRDefault="00992C42" w:rsidP="00403FFC">
      <w:pPr>
        <w:pStyle w:val="ListParagraph"/>
        <w:numPr>
          <w:ilvl w:val="0"/>
          <w:numId w:val="10"/>
        </w:numPr>
        <w:rPr>
          <w:rFonts w:ascii="Arial" w:hAnsi="Arial" w:cs="Arial"/>
          <w:sz w:val="22"/>
          <w:szCs w:val="22"/>
        </w:rPr>
      </w:pPr>
      <w:r>
        <w:rPr>
          <w:rFonts w:ascii="Arial" w:hAnsi="Arial" w:cs="Arial"/>
          <w:sz w:val="22"/>
          <w:szCs w:val="22"/>
        </w:rPr>
        <w:t>False declarations to the GDC regarding indemnity insurance;</w:t>
      </w:r>
    </w:p>
    <w:p w14:paraId="50978C83" w14:textId="35D5A376" w:rsidR="00403FFC" w:rsidRPr="00992C42" w:rsidRDefault="00992C42" w:rsidP="00992C42">
      <w:pPr>
        <w:pStyle w:val="ListParagraph"/>
        <w:numPr>
          <w:ilvl w:val="0"/>
          <w:numId w:val="10"/>
        </w:numPr>
        <w:rPr>
          <w:rFonts w:ascii="Arial" w:hAnsi="Arial" w:cs="Arial"/>
          <w:sz w:val="22"/>
          <w:szCs w:val="22"/>
        </w:rPr>
      </w:pPr>
      <w:r>
        <w:rPr>
          <w:rFonts w:ascii="Arial" w:hAnsi="Arial" w:cs="Arial"/>
          <w:sz w:val="22"/>
          <w:szCs w:val="22"/>
        </w:rPr>
        <w:t>Poor or inadequate record-keeping</w:t>
      </w:r>
      <w:r w:rsidR="00026FE0">
        <w:rPr>
          <w:rFonts w:ascii="Arial" w:hAnsi="Arial" w:cs="Arial"/>
          <w:sz w:val="22"/>
          <w:szCs w:val="22"/>
        </w:rPr>
        <w:t>.</w:t>
      </w:r>
    </w:p>
    <w:p w14:paraId="4E68971B" w14:textId="7E079BC4" w:rsidR="003944C0" w:rsidRDefault="003944C0" w:rsidP="003944C0">
      <w:pPr>
        <w:rPr>
          <w:rFonts w:ascii="Arial" w:hAnsi="Arial" w:cs="Arial"/>
          <w:sz w:val="22"/>
          <w:szCs w:val="22"/>
        </w:rPr>
      </w:pPr>
    </w:p>
    <w:p w14:paraId="5043B41D" w14:textId="4A86E111" w:rsidR="003944C0" w:rsidRPr="007D76F4" w:rsidRDefault="003944C0" w:rsidP="003944C0">
      <w:pPr>
        <w:shd w:val="clear" w:color="auto" w:fill="FFFFFF"/>
        <w:rPr>
          <w:rFonts w:ascii="Arial" w:hAnsi="Arial" w:cs="Arial"/>
          <w:color w:val="000000" w:themeColor="text1"/>
          <w:sz w:val="22"/>
          <w:szCs w:val="22"/>
        </w:rPr>
      </w:pPr>
      <w:r>
        <w:rPr>
          <w:rFonts w:ascii="Arial" w:hAnsi="Arial" w:cs="Arial"/>
          <w:sz w:val="22"/>
          <w:szCs w:val="22"/>
        </w:rPr>
        <w:t xml:space="preserve">One registrant was also charged with </w:t>
      </w:r>
      <w:r w:rsidR="007D76F4" w:rsidRPr="007D76F4">
        <w:rPr>
          <w:rFonts w:ascii="Arial" w:hAnsi="Arial" w:cs="Arial"/>
          <w:sz w:val="22"/>
          <w:szCs w:val="22"/>
        </w:rPr>
        <w:t>failure</w:t>
      </w:r>
      <w:r w:rsidRPr="007D76F4">
        <w:rPr>
          <w:rFonts w:ascii="Arial" w:hAnsi="Arial" w:cs="Arial"/>
          <w:sz w:val="22"/>
          <w:szCs w:val="22"/>
        </w:rPr>
        <w:t xml:space="preserve"> to wear </w:t>
      </w:r>
      <w:r w:rsidRPr="007D76F4">
        <w:rPr>
          <w:rFonts w:ascii="Arial" w:hAnsi="Arial" w:cs="Arial"/>
          <w:color w:val="000000" w:themeColor="text1"/>
          <w:sz w:val="22"/>
          <w:szCs w:val="22"/>
        </w:rPr>
        <w:t>gloves while treating</w:t>
      </w:r>
      <w:r w:rsidR="007D76F4" w:rsidRPr="007D76F4">
        <w:rPr>
          <w:rFonts w:ascii="Arial" w:hAnsi="Arial" w:cs="Arial"/>
          <w:color w:val="000000" w:themeColor="text1"/>
          <w:sz w:val="22"/>
          <w:szCs w:val="22"/>
        </w:rPr>
        <w:t xml:space="preserve"> a patient</w:t>
      </w:r>
      <w:r w:rsidR="007D76F4">
        <w:rPr>
          <w:rFonts w:ascii="Arial" w:hAnsi="Arial" w:cs="Arial"/>
          <w:color w:val="000000" w:themeColor="text1"/>
          <w:sz w:val="22"/>
          <w:szCs w:val="22"/>
        </w:rPr>
        <w:t xml:space="preserve"> (that treatment itself being outside the registrant’s scope of practice), and </w:t>
      </w:r>
      <w:r w:rsidR="007D76F4">
        <w:rPr>
          <w:rFonts w:ascii="Arial" w:hAnsi="Arial" w:cs="Arial"/>
          <w:sz w:val="22"/>
          <w:szCs w:val="22"/>
        </w:rPr>
        <w:t>f</w:t>
      </w:r>
      <w:r w:rsidRPr="007D76F4">
        <w:rPr>
          <w:rFonts w:ascii="Arial" w:hAnsi="Arial" w:cs="Arial"/>
          <w:sz w:val="22"/>
          <w:szCs w:val="22"/>
        </w:rPr>
        <w:t>ail</w:t>
      </w:r>
      <w:r w:rsidR="007D76F4">
        <w:rPr>
          <w:rFonts w:ascii="Arial" w:hAnsi="Arial" w:cs="Arial"/>
          <w:sz w:val="22"/>
          <w:szCs w:val="22"/>
        </w:rPr>
        <w:t>ure</w:t>
      </w:r>
      <w:r w:rsidRPr="007D76F4">
        <w:rPr>
          <w:rFonts w:ascii="Arial" w:hAnsi="Arial" w:cs="Arial"/>
          <w:sz w:val="22"/>
          <w:szCs w:val="22"/>
        </w:rPr>
        <w:t xml:space="preserve"> to respond professionally to </w:t>
      </w:r>
      <w:r w:rsidR="007D76F4">
        <w:rPr>
          <w:rFonts w:ascii="Arial" w:hAnsi="Arial" w:cs="Arial"/>
          <w:sz w:val="22"/>
          <w:szCs w:val="22"/>
        </w:rPr>
        <w:t xml:space="preserve">a </w:t>
      </w:r>
      <w:r w:rsidRPr="007D76F4">
        <w:rPr>
          <w:rFonts w:ascii="Arial" w:hAnsi="Arial" w:cs="Arial"/>
          <w:sz w:val="22"/>
          <w:szCs w:val="22"/>
        </w:rPr>
        <w:t>patient’s complaint</w:t>
      </w:r>
    </w:p>
    <w:p w14:paraId="678CB9E0" w14:textId="1CC3B92B" w:rsidR="00992C42" w:rsidRDefault="00992C42" w:rsidP="003944C0">
      <w:pPr>
        <w:shd w:val="clear" w:color="auto" w:fill="FFFFFF"/>
        <w:rPr>
          <w:rFonts w:ascii="Helvetica" w:eastAsia="Times New Roman" w:hAnsi="Helvetica" w:cs="Times New Roman"/>
          <w:color w:val="333333"/>
          <w:sz w:val="21"/>
          <w:szCs w:val="21"/>
          <w:lang w:eastAsia="en-GB"/>
        </w:rPr>
      </w:pPr>
    </w:p>
    <w:p w14:paraId="1BA36497" w14:textId="26C32A22" w:rsidR="00992C42" w:rsidRDefault="00992C42" w:rsidP="003944C0">
      <w:pPr>
        <w:shd w:val="clear" w:color="auto" w:fill="FFFFFF"/>
        <w:rPr>
          <w:rFonts w:ascii="Helvetica" w:eastAsia="Times New Roman" w:hAnsi="Helvetica" w:cs="Times New Roman"/>
          <w:color w:val="000000" w:themeColor="text1"/>
          <w:sz w:val="21"/>
          <w:szCs w:val="21"/>
          <w:lang w:eastAsia="en-GB"/>
        </w:rPr>
      </w:pPr>
      <w:r w:rsidRPr="007D76F4">
        <w:rPr>
          <w:rFonts w:ascii="Arial" w:eastAsia="Times New Roman" w:hAnsi="Arial" w:cs="Arial"/>
          <w:color w:val="000000" w:themeColor="text1"/>
          <w:sz w:val="22"/>
          <w:szCs w:val="22"/>
          <w:lang w:eastAsia="en-GB"/>
        </w:rPr>
        <w:t>One registrant was charged with misleadingly and dishonestly representing to GDC counsel that he was enrolled on a CDT program at the time he had treated a patient outside the scope of practice of a Dental Technician and allowing GDC counsel to so submit at an Interim Orders Committee hearing</w:t>
      </w:r>
      <w:r w:rsidRPr="007D76F4">
        <w:rPr>
          <w:rFonts w:ascii="Helvetica" w:eastAsia="Times New Roman" w:hAnsi="Helvetica" w:cs="Times New Roman"/>
          <w:color w:val="000000" w:themeColor="text1"/>
          <w:sz w:val="21"/>
          <w:szCs w:val="21"/>
          <w:lang w:eastAsia="en-GB"/>
        </w:rPr>
        <w:t>.</w:t>
      </w:r>
    </w:p>
    <w:p w14:paraId="2834177F" w14:textId="71761F00" w:rsidR="007A5D42" w:rsidRDefault="007A5D42" w:rsidP="003944C0">
      <w:pPr>
        <w:shd w:val="clear" w:color="auto" w:fill="FFFFFF"/>
        <w:rPr>
          <w:rFonts w:ascii="Helvetica" w:eastAsia="Times New Roman" w:hAnsi="Helvetica" w:cs="Times New Roman"/>
          <w:color w:val="000000" w:themeColor="text1"/>
          <w:sz w:val="21"/>
          <w:szCs w:val="21"/>
          <w:lang w:eastAsia="en-GB"/>
        </w:rPr>
      </w:pPr>
    </w:p>
    <w:p w14:paraId="492F8B0C" w14:textId="194B582D" w:rsidR="007A5D42" w:rsidRPr="00026FE0" w:rsidRDefault="00026FE0" w:rsidP="00026FE0">
      <w:pPr>
        <w:rPr>
          <w:rFonts w:ascii="Arial" w:hAnsi="Arial" w:cs="Arial"/>
          <w:sz w:val="22"/>
          <w:szCs w:val="22"/>
        </w:rPr>
      </w:pPr>
      <w:r>
        <w:rPr>
          <w:rFonts w:ascii="Arial" w:hAnsi="Arial" w:cs="Arial"/>
          <w:sz w:val="22"/>
          <w:szCs w:val="22"/>
        </w:rPr>
        <w:t>One was charged with a</w:t>
      </w:r>
      <w:r w:rsidR="007A5D42" w:rsidRPr="00026FE0">
        <w:rPr>
          <w:rFonts w:ascii="Arial" w:hAnsi="Arial" w:cs="Arial"/>
          <w:sz w:val="22"/>
          <w:szCs w:val="22"/>
        </w:rPr>
        <w:t>llowing misleading publication of advertisements and/or misleading information to appear on a website.</w:t>
      </w:r>
    </w:p>
    <w:p w14:paraId="4B98CE8C" w14:textId="60814B01" w:rsidR="0062054D" w:rsidRDefault="0062054D" w:rsidP="00B1660C">
      <w:pPr>
        <w:rPr>
          <w:rFonts w:ascii="Arial" w:hAnsi="Arial" w:cs="Arial"/>
          <w:sz w:val="22"/>
          <w:szCs w:val="22"/>
          <w:u w:val="single"/>
        </w:rPr>
      </w:pPr>
    </w:p>
    <w:p w14:paraId="5B274F29" w14:textId="4567BA01" w:rsidR="003944C0" w:rsidRPr="003944C0" w:rsidRDefault="00026FE0" w:rsidP="00B1660C">
      <w:pPr>
        <w:rPr>
          <w:rFonts w:ascii="Arial" w:hAnsi="Arial" w:cs="Arial"/>
          <w:sz w:val="22"/>
          <w:szCs w:val="22"/>
        </w:rPr>
      </w:pPr>
      <w:r>
        <w:rPr>
          <w:rFonts w:ascii="Arial" w:hAnsi="Arial" w:cs="Arial"/>
          <w:sz w:val="22"/>
          <w:szCs w:val="22"/>
        </w:rPr>
        <w:t>Two determinations mentioned registrants’ health, but understandably there were no further details, given the personal and private nature of the health of an individual.</w:t>
      </w:r>
    </w:p>
    <w:p w14:paraId="75256067" w14:textId="77777777" w:rsidR="008B15B5" w:rsidRPr="008B15B5" w:rsidRDefault="008B15B5" w:rsidP="00B1660C">
      <w:pPr>
        <w:rPr>
          <w:rFonts w:ascii="Arial" w:hAnsi="Arial" w:cs="Arial"/>
          <w:sz w:val="22"/>
          <w:szCs w:val="22"/>
        </w:rPr>
      </w:pPr>
    </w:p>
    <w:p w14:paraId="685D4EA1" w14:textId="77777777" w:rsidR="00E70008" w:rsidRDefault="00E70008" w:rsidP="00B1660C">
      <w:pPr>
        <w:rPr>
          <w:rFonts w:ascii="Arial" w:hAnsi="Arial" w:cs="Arial"/>
          <w:sz w:val="22"/>
          <w:szCs w:val="22"/>
          <w:u w:val="single"/>
        </w:rPr>
      </w:pPr>
    </w:p>
    <w:p w14:paraId="7FE319FA" w14:textId="77777777" w:rsidR="00E70008" w:rsidRDefault="00E70008" w:rsidP="00B1660C">
      <w:pPr>
        <w:rPr>
          <w:rFonts w:ascii="Arial" w:hAnsi="Arial" w:cs="Arial"/>
          <w:sz w:val="22"/>
          <w:szCs w:val="22"/>
          <w:u w:val="single"/>
        </w:rPr>
      </w:pPr>
    </w:p>
    <w:p w14:paraId="7CC1CE72" w14:textId="5E9E745E" w:rsidR="00201E85" w:rsidRDefault="00B1660C" w:rsidP="00B1660C">
      <w:pPr>
        <w:rPr>
          <w:rFonts w:ascii="Arial" w:hAnsi="Arial" w:cs="Arial"/>
          <w:sz w:val="22"/>
          <w:szCs w:val="22"/>
          <w:u w:val="single"/>
        </w:rPr>
      </w:pPr>
      <w:r w:rsidRPr="00B1660C">
        <w:rPr>
          <w:rFonts w:ascii="Arial" w:hAnsi="Arial" w:cs="Arial"/>
          <w:sz w:val="22"/>
          <w:szCs w:val="22"/>
          <w:u w:val="single"/>
        </w:rPr>
        <w:t>Sanctions</w:t>
      </w:r>
      <w:r w:rsidR="00260C81">
        <w:rPr>
          <w:rFonts w:ascii="Arial" w:hAnsi="Arial" w:cs="Arial"/>
          <w:sz w:val="22"/>
          <w:szCs w:val="22"/>
          <w:u w:val="single"/>
        </w:rPr>
        <w:t xml:space="preserve"> </w:t>
      </w:r>
    </w:p>
    <w:p w14:paraId="254BD6C6" w14:textId="77777777" w:rsidR="00201E85" w:rsidRDefault="00201E85" w:rsidP="00B1660C">
      <w:pPr>
        <w:rPr>
          <w:rFonts w:ascii="Arial" w:hAnsi="Arial" w:cs="Arial"/>
          <w:sz w:val="22"/>
          <w:szCs w:val="22"/>
          <w:u w:val="single"/>
        </w:rPr>
      </w:pPr>
    </w:p>
    <w:p w14:paraId="391510AF" w14:textId="03399BF6" w:rsidR="00B1660C" w:rsidRDefault="00201E85" w:rsidP="00B1660C">
      <w:pPr>
        <w:rPr>
          <w:rFonts w:ascii="Arial" w:hAnsi="Arial" w:cs="Arial"/>
          <w:sz w:val="22"/>
          <w:szCs w:val="22"/>
        </w:rPr>
      </w:pPr>
      <w:r>
        <w:rPr>
          <w:rFonts w:ascii="Arial" w:hAnsi="Arial" w:cs="Arial"/>
          <w:sz w:val="22"/>
          <w:szCs w:val="22"/>
        </w:rPr>
        <w:t>T</w:t>
      </w:r>
      <w:r w:rsidR="00260C81">
        <w:rPr>
          <w:rFonts w:ascii="Arial" w:hAnsi="Arial" w:cs="Arial"/>
          <w:sz w:val="22"/>
          <w:szCs w:val="22"/>
        </w:rPr>
        <w:t xml:space="preserve">he sanctions listed </w:t>
      </w:r>
      <w:r>
        <w:rPr>
          <w:rFonts w:ascii="Arial" w:hAnsi="Arial" w:cs="Arial"/>
          <w:sz w:val="22"/>
          <w:szCs w:val="22"/>
        </w:rPr>
        <w:t>at Table 1 are those</w:t>
      </w:r>
      <w:r w:rsidR="00260C81">
        <w:rPr>
          <w:rFonts w:ascii="Arial" w:hAnsi="Arial" w:cs="Arial"/>
          <w:sz w:val="22"/>
          <w:szCs w:val="22"/>
        </w:rPr>
        <w:t xml:space="preserve"> imposed at all relevant hearings involving </w:t>
      </w:r>
      <w:r>
        <w:rPr>
          <w:rFonts w:ascii="Arial" w:hAnsi="Arial" w:cs="Arial"/>
          <w:sz w:val="22"/>
          <w:szCs w:val="22"/>
        </w:rPr>
        <w:t xml:space="preserve">the identified registered dental technicians. (Figures also include </w:t>
      </w:r>
      <w:r w:rsidR="00260C81">
        <w:rPr>
          <w:rFonts w:ascii="Arial" w:hAnsi="Arial" w:cs="Arial"/>
          <w:sz w:val="22"/>
          <w:szCs w:val="22"/>
        </w:rPr>
        <w:t xml:space="preserve">sanctions imposed at </w:t>
      </w:r>
      <w:r w:rsidR="005D2B86">
        <w:rPr>
          <w:rFonts w:ascii="Arial" w:hAnsi="Arial" w:cs="Arial"/>
          <w:sz w:val="22"/>
          <w:szCs w:val="22"/>
        </w:rPr>
        <w:t xml:space="preserve">any </w:t>
      </w:r>
      <w:r>
        <w:rPr>
          <w:rFonts w:ascii="Arial" w:hAnsi="Arial" w:cs="Arial"/>
          <w:sz w:val="22"/>
          <w:szCs w:val="22"/>
        </w:rPr>
        <w:t xml:space="preserve">relevant </w:t>
      </w:r>
      <w:r w:rsidR="00260C81">
        <w:rPr>
          <w:rFonts w:ascii="Arial" w:hAnsi="Arial" w:cs="Arial"/>
          <w:sz w:val="22"/>
          <w:szCs w:val="22"/>
        </w:rPr>
        <w:t>hearings prior to a</w:t>
      </w:r>
      <w:r w:rsidR="005D2B86">
        <w:rPr>
          <w:rFonts w:ascii="Arial" w:hAnsi="Arial" w:cs="Arial"/>
          <w:sz w:val="22"/>
          <w:szCs w:val="22"/>
        </w:rPr>
        <w:t>ny</w:t>
      </w:r>
      <w:r w:rsidR="00260C81">
        <w:rPr>
          <w:rFonts w:ascii="Arial" w:hAnsi="Arial" w:cs="Arial"/>
          <w:sz w:val="22"/>
          <w:szCs w:val="22"/>
        </w:rPr>
        <w:t xml:space="preserve"> 2019 review hearing</w:t>
      </w:r>
      <w:r>
        <w:rPr>
          <w:rFonts w:ascii="Arial" w:hAnsi="Arial" w:cs="Arial"/>
          <w:sz w:val="22"/>
          <w:szCs w:val="22"/>
        </w:rPr>
        <w:t xml:space="preserve"> in relation to the relevant proceedings</w:t>
      </w:r>
      <w:r w:rsidR="005D2B86">
        <w:rPr>
          <w:rFonts w:ascii="Arial" w:hAnsi="Arial" w:cs="Arial"/>
          <w:sz w:val="22"/>
          <w:szCs w:val="22"/>
        </w:rPr>
        <w:t>):</w:t>
      </w:r>
    </w:p>
    <w:p w14:paraId="09FEB90C" w14:textId="0C0DB6C9" w:rsidR="00201E85" w:rsidRDefault="00201E85" w:rsidP="00B1660C">
      <w:pPr>
        <w:rPr>
          <w:rFonts w:ascii="Arial" w:hAnsi="Arial" w:cs="Arial"/>
          <w:sz w:val="22"/>
          <w:szCs w:val="22"/>
        </w:rPr>
      </w:pPr>
    </w:p>
    <w:p w14:paraId="052A040E" w14:textId="551365E7" w:rsidR="00201E85" w:rsidRPr="00201E85" w:rsidRDefault="00201E85" w:rsidP="00B1660C">
      <w:pPr>
        <w:rPr>
          <w:rFonts w:ascii="Arial" w:hAnsi="Arial" w:cs="Arial"/>
          <w:b/>
          <w:bCs/>
          <w:sz w:val="22"/>
          <w:szCs w:val="22"/>
          <w:u w:val="single"/>
        </w:rPr>
      </w:pPr>
      <w:r w:rsidRPr="00201E85">
        <w:rPr>
          <w:rFonts w:ascii="Arial" w:hAnsi="Arial" w:cs="Arial"/>
          <w:b/>
          <w:bCs/>
          <w:sz w:val="22"/>
          <w:szCs w:val="22"/>
          <w:u w:val="single"/>
        </w:rPr>
        <w:t>Table 1</w:t>
      </w:r>
    </w:p>
    <w:p w14:paraId="54E9B78B" w14:textId="25334237" w:rsidR="009222CD" w:rsidRDefault="009222CD" w:rsidP="00B1660C">
      <w:pPr>
        <w:rPr>
          <w:rFonts w:ascii="Arial" w:hAnsi="Arial" w:cs="Arial"/>
          <w:sz w:val="22"/>
          <w:szCs w:val="22"/>
          <w:u w:val="single"/>
        </w:rPr>
      </w:pPr>
    </w:p>
    <w:tbl>
      <w:tblPr>
        <w:tblStyle w:val="TableGrid"/>
        <w:tblW w:w="0" w:type="auto"/>
        <w:tblLook w:val="04A0" w:firstRow="1" w:lastRow="0" w:firstColumn="1" w:lastColumn="0" w:noHBand="0" w:noVBand="1"/>
      </w:tblPr>
      <w:tblGrid>
        <w:gridCol w:w="3297"/>
        <w:gridCol w:w="2904"/>
        <w:gridCol w:w="2809"/>
      </w:tblGrid>
      <w:tr w:rsidR="004771BD" w:rsidRPr="00044376" w14:paraId="7F93EB20" w14:textId="77777777" w:rsidTr="004771BD">
        <w:tc>
          <w:tcPr>
            <w:tcW w:w="3297" w:type="dxa"/>
          </w:tcPr>
          <w:p w14:paraId="25D5FC8B" w14:textId="17CF8743" w:rsidR="004771BD" w:rsidRPr="004771BD" w:rsidRDefault="004771BD" w:rsidP="00441B61">
            <w:pPr>
              <w:rPr>
                <w:rFonts w:ascii="Arial" w:hAnsi="Arial" w:cs="Arial"/>
                <w:b/>
                <w:bCs/>
                <w:sz w:val="22"/>
                <w:szCs w:val="22"/>
              </w:rPr>
            </w:pPr>
            <w:r>
              <w:rPr>
                <w:rFonts w:ascii="Arial" w:hAnsi="Arial" w:cs="Arial"/>
                <w:b/>
                <w:bCs/>
                <w:sz w:val="22"/>
                <w:szCs w:val="22"/>
              </w:rPr>
              <w:t>SANCTION</w:t>
            </w:r>
          </w:p>
        </w:tc>
        <w:tc>
          <w:tcPr>
            <w:tcW w:w="2904" w:type="dxa"/>
          </w:tcPr>
          <w:p w14:paraId="1D461792" w14:textId="32CDB894" w:rsidR="004771BD" w:rsidRPr="004771BD" w:rsidRDefault="004771BD" w:rsidP="00441B61">
            <w:pPr>
              <w:rPr>
                <w:rFonts w:ascii="Arial" w:hAnsi="Arial" w:cs="Arial"/>
                <w:b/>
                <w:bCs/>
                <w:sz w:val="22"/>
                <w:szCs w:val="22"/>
              </w:rPr>
            </w:pPr>
            <w:r>
              <w:rPr>
                <w:rFonts w:ascii="Arial" w:hAnsi="Arial" w:cs="Arial"/>
                <w:b/>
                <w:bCs/>
                <w:sz w:val="22"/>
                <w:szCs w:val="22"/>
              </w:rPr>
              <w:t>NUMBER OF TIMES IMPOSED</w:t>
            </w:r>
          </w:p>
        </w:tc>
        <w:tc>
          <w:tcPr>
            <w:tcW w:w="2809" w:type="dxa"/>
          </w:tcPr>
          <w:p w14:paraId="250302EC" w14:textId="79A69589" w:rsidR="004771BD" w:rsidRPr="004771BD" w:rsidRDefault="004771BD" w:rsidP="00441B61">
            <w:pPr>
              <w:rPr>
                <w:rFonts w:ascii="Arial" w:hAnsi="Arial" w:cs="Arial"/>
                <w:b/>
                <w:bCs/>
                <w:sz w:val="22"/>
                <w:szCs w:val="22"/>
              </w:rPr>
            </w:pPr>
            <w:r w:rsidRPr="004771BD">
              <w:rPr>
                <w:rFonts w:ascii="Arial" w:hAnsi="Arial" w:cs="Arial"/>
                <w:b/>
                <w:bCs/>
                <w:sz w:val="22"/>
                <w:szCs w:val="22"/>
              </w:rPr>
              <w:t>COMMENT</w:t>
            </w:r>
          </w:p>
        </w:tc>
      </w:tr>
      <w:tr w:rsidR="004771BD" w:rsidRPr="00044376" w14:paraId="0E059856" w14:textId="0AB6DDE0" w:rsidTr="004771BD">
        <w:tc>
          <w:tcPr>
            <w:tcW w:w="3297" w:type="dxa"/>
          </w:tcPr>
          <w:p w14:paraId="4D3B996C" w14:textId="0AA5FD22" w:rsidR="004771BD" w:rsidRPr="00044376" w:rsidRDefault="004771BD" w:rsidP="00441B61">
            <w:pPr>
              <w:rPr>
                <w:rFonts w:ascii="Arial" w:hAnsi="Arial" w:cs="Arial"/>
                <w:sz w:val="22"/>
                <w:szCs w:val="22"/>
              </w:rPr>
            </w:pPr>
            <w:r w:rsidRPr="00044376">
              <w:rPr>
                <w:rFonts w:ascii="Arial" w:hAnsi="Arial" w:cs="Arial"/>
                <w:sz w:val="22"/>
                <w:szCs w:val="22"/>
              </w:rPr>
              <w:t xml:space="preserve">Reprimand </w:t>
            </w:r>
          </w:p>
        </w:tc>
        <w:tc>
          <w:tcPr>
            <w:tcW w:w="2904" w:type="dxa"/>
          </w:tcPr>
          <w:p w14:paraId="02799995" w14:textId="7E161D73" w:rsidR="004771BD" w:rsidRPr="00044376" w:rsidRDefault="004771BD" w:rsidP="00441B61">
            <w:pPr>
              <w:rPr>
                <w:rFonts w:ascii="Arial" w:hAnsi="Arial" w:cs="Arial"/>
                <w:sz w:val="22"/>
                <w:szCs w:val="22"/>
              </w:rPr>
            </w:pPr>
            <w:r w:rsidRPr="00044376">
              <w:rPr>
                <w:rFonts w:ascii="Arial" w:hAnsi="Arial" w:cs="Arial"/>
                <w:sz w:val="22"/>
                <w:szCs w:val="22"/>
              </w:rPr>
              <w:t>2</w:t>
            </w:r>
          </w:p>
        </w:tc>
        <w:tc>
          <w:tcPr>
            <w:tcW w:w="2809" w:type="dxa"/>
          </w:tcPr>
          <w:p w14:paraId="246A8BE8" w14:textId="4ACDCDF1" w:rsidR="004771BD" w:rsidRPr="00044376" w:rsidRDefault="004771BD" w:rsidP="00441B61">
            <w:pPr>
              <w:rPr>
                <w:rFonts w:ascii="Arial" w:hAnsi="Arial" w:cs="Arial"/>
                <w:sz w:val="22"/>
                <w:szCs w:val="22"/>
              </w:rPr>
            </w:pPr>
            <w:r>
              <w:rPr>
                <w:rFonts w:ascii="Arial" w:hAnsi="Arial" w:cs="Arial"/>
                <w:sz w:val="22"/>
                <w:szCs w:val="22"/>
              </w:rPr>
              <w:t>Imposed at first hearing</w:t>
            </w:r>
          </w:p>
        </w:tc>
      </w:tr>
      <w:tr w:rsidR="004771BD" w:rsidRPr="00044376" w14:paraId="1DD7FF5F" w14:textId="2685F93B" w:rsidTr="004771BD">
        <w:tc>
          <w:tcPr>
            <w:tcW w:w="3297" w:type="dxa"/>
          </w:tcPr>
          <w:p w14:paraId="07B1DF5C" w14:textId="28C356C8" w:rsidR="004771BD" w:rsidRPr="00044376" w:rsidRDefault="004771BD" w:rsidP="00441B61">
            <w:pPr>
              <w:rPr>
                <w:rFonts w:ascii="Arial" w:hAnsi="Arial" w:cs="Arial"/>
                <w:sz w:val="22"/>
                <w:szCs w:val="22"/>
              </w:rPr>
            </w:pPr>
            <w:r w:rsidRPr="00044376">
              <w:rPr>
                <w:rFonts w:ascii="Arial" w:hAnsi="Arial" w:cs="Arial"/>
                <w:sz w:val="22"/>
                <w:szCs w:val="22"/>
              </w:rPr>
              <w:t xml:space="preserve">Conditions (with a review), </w:t>
            </w:r>
          </w:p>
        </w:tc>
        <w:tc>
          <w:tcPr>
            <w:tcW w:w="2904" w:type="dxa"/>
          </w:tcPr>
          <w:p w14:paraId="4DD274CF" w14:textId="5DA271B5" w:rsidR="004771BD" w:rsidRPr="00044376" w:rsidRDefault="00715ED7" w:rsidP="00441B61">
            <w:pPr>
              <w:rPr>
                <w:rFonts w:ascii="Arial" w:hAnsi="Arial" w:cs="Arial"/>
                <w:sz w:val="22"/>
                <w:szCs w:val="22"/>
              </w:rPr>
            </w:pPr>
            <w:r>
              <w:rPr>
                <w:rFonts w:ascii="Arial" w:hAnsi="Arial" w:cs="Arial"/>
                <w:sz w:val="22"/>
                <w:szCs w:val="22"/>
              </w:rPr>
              <w:t>1</w:t>
            </w:r>
          </w:p>
        </w:tc>
        <w:tc>
          <w:tcPr>
            <w:tcW w:w="2809" w:type="dxa"/>
          </w:tcPr>
          <w:p w14:paraId="7CB71DE1" w14:textId="0927E8DE" w:rsidR="004771BD" w:rsidRDefault="004771BD" w:rsidP="00441B61">
            <w:pPr>
              <w:rPr>
                <w:rFonts w:ascii="Arial" w:hAnsi="Arial" w:cs="Arial"/>
                <w:sz w:val="22"/>
                <w:szCs w:val="22"/>
              </w:rPr>
            </w:pPr>
            <w:r>
              <w:rPr>
                <w:rFonts w:ascii="Arial" w:hAnsi="Arial" w:cs="Arial"/>
                <w:sz w:val="22"/>
                <w:szCs w:val="22"/>
              </w:rPr>
              <w:t>I</w:t>
            </w:r>
            <w:r w:rsidRPr="00044376">
              <w:rPr>
                <w:rFonts w:ascii="Arial" w:hAnsi="Arial" w:cs="Arial"/>
                <w:sz w:val="22"/>
                <w:szCs w:val="22"/>
              </w:rPr>
              <w:t>mposed at first hearing</w:t>
            </w:r>
          </w:p>
        </w:tc>
      </w:tr>
      <w:tr w:rsidR="004771BD" w:rsidRPr="00044376" w14:paraId="0567C0DE" w14:textId="18022B97" w:rsidTr="004771BD">
        <w:tc>
          <w:tcPr>
            <w:tcW w:w="3297" w:type="dxa"/>
          </w:tcPr>
          <w:p w14:paraId="026C8EA5" w14:textId="56C53C3E" w:rsidR="004771BD" w:rsidRPr="00044376" w:rsidRDefault="004771BD" w:rsidP="00441B61">
            <w:pPr>
              <w:rPr>
                <w:rFonts w:ascii="Arial" w:hAnsi="Arial" w:cs="Arial"/>
                <w:sz w:val="22"/>
                <w:szCs w:val="22"/>
              </w:rPr>
            </w:pPr>
            <w:r w:rsidRPr="00044376">
              <w:rPr>
                <w:rFonts w:ascii="Arial" w:hAnsi="Arial" w:cs="Arial"/>
                <w:sz w:val="22"/>
                <w:szCs w:val="22"/>
              </w:rPr>
              <w:t>Conditions revoked, Suspension imposed at review hearing</w:t>
            </w:r>
            <w:r>
              <w:rPr>
                <w:rFonts w:ascii="Arial" w:hAnsi="Arial" w:cs="Arial"/>
                <w:sz w:val="22"/>
                <w:szCs w:val="22"/>
              </w:rPr>
              <w:t xml:space="preserve"> </w:t>
            </w:r>
          </w:p>
        </w:tc>
        <w:tc>
          <w:tcPr>
            <w:tcW w:w="2904" w:type="dxa"/>
          </w:tcPr>
          <w:p w14:paraId="19A90D16" w14:textId="34D9080D" w:rsidR="004771BD" w:rsidRPr="00044376" w:rsidRDefault="006F1584" w:rsidP="00441B61">
            <w:pPr>
              <w:rPr>
                <w:rFonts w:ascii="Arial" w:hAnsi="Arial" w:cs="Arial"/>
                <w:sz w:val="22"/>
                <w:szCs w:val="22"/>
              </w:rPr>
            </w:pPr>
            <w:r>
              <w:rPr>
                <w:rFonts w:ascii="Arial" w:hAnsi="Arial" w:cs="Arial"/>
                <w:sz w:val="22"/>
                <w:szCs w:val="22"/>
              </w:rPr>
              <w:t>1</w:t>
            </w:r>
          </w:p>
        </w:tc>
        <w:tc>
          <w:tcPr>
            <w:tcW w:w="2809" w:type="dxa"/>
          </w:tcPr>
          <w:p w14:paraId="264EF43B" w14:textId="1FF6D9F3" w:rsidR="004771BD" w:rsidRPr="00044376" w:rsidRDefault="004771BD" w:rsidP="00441B61">
            <w:pPr>
              <w:rPr>
                <w:rFonts w:ascii="Arial" w:hAnsi="Arial" w:cs="Arial"/>
                <w:sz w:val="22"/>
                <w:szCs w:val="22"/>
              </w:rPr>
            </w:pPr>
            <w:r>
              <w:rPr>
                <w:rFonts w:ascii="Arial" w:hAnsi="Arial" w:cs="Arial"/>
                <w:sz w:val="22"/>
                <w:szCs w:val="22"/>
              </w:rPr>
              <w:t>W</w:t>
            </w:r>
            <w:r w:rsidRPr="00044376">
              <w:rPr>
                <w:rFonts w:ascii="Arial" w:hAnsi="Arial" w:cs="Arial"/>
                <w:sz w:val="22"/>
                <w:szCs w:val="22"/>
              </w:rPr>
              <w:t>hen registrant failed to continue meaningfully to engage</w:t>
            </w:r>
          </w:p>
        </w:tc>
      </w:tr>
      <w:tr w:rsidR="004771BD" w:rsidRPr="00044376" w14:paraId="540DA916" w14:textId="3DFC5400" w:rsidTr="004771BD">
        <w:tc>
          <w:tcPr>
            <w:tcW w:w="3297" w:type="dxa"/>
          </w:tcPr>
          <w:p w14:paraId="785EADC8" w14:textId="3A3C1803" w:rsidR="004771BD" w:rsidRPr="00044376" w:rsidRDefault="004771BD" w:rsidP="00441B61">
            <w:pPr>
              <w:rPr>
                <w:rFonts w:ascii="Arial" w:hAnsi="Arial" w:cs="Arial"/>
                <w:sz w:val="22"/>
                <w:szCs w:val="22"/>
              </w:rPr>
            </w:pPr>
            <w:r w:rsidRPr="00044376">
              <w:rPr>
                <w:rFonts w:ascii="Arial" w:hAnsi="Arial" w:cs="Arial"/>
                <w:sz w:val="22"/>
                <w:szCs w:val="22"/>
              </w:rPr>
              <w:t xml:space="preserve">Suspension (with a review)  </w:t>
            </w:r>
          </w:p>
        </w:tc>
        <w:tc>
          <w:tcPr>
            <w:tcW w:w="2904" w:type="dxa"/>
          </w:tcPr>
          <w:p w14:paraId="633DC724" w14:textId="7705F2AF" w:rsidR="004771BD" w:rsidRPr="00044376" w:rsidRDefault="004771BD" w:rsidP="00441B61">
            <w:pPr>
              <w:rPr>
                <w:rFonts w:ascii="Arial" w:hAnsi="Arial" w:cs="Arial"/>
                <w:sz w:val="22"/>
                <w:szCs w:val="22"/>
              </w:rPr>
            </w:pPr>
            <w:r>
              <w:rPr>
                <w:rFonts w:ascii="Arial" w:hAnsi="Arial" w:cs="Arial"/>
                <w:sz w:val="22"/>
                <w:szCs w:val="22"/>
              </w:rPr>
              <w:t>11</w:t>
            </w:r>
          </w:p>
        </w:tc>
        <w:tc>
          <w:tcPr>
            <w:tcW w:w="2809" w:type="dxa"/>
          </w:tcPr>
          <w:p w14:paraId="142F524E" w14:textId="72557437" w:rsidR="004771BD" w:rsidRDefault="004771BD" w:rsidP="00441B61">
            <w:pPr>
              <w:rPr>
                <w:rFonts w:ascii="Arial" w:hAnsi="Arial" w:cs="Arial"/>
                <w:sz w:val="22"/>
                <w:szCs w:val="22"/>
              </w:rPr>
            </w:pPr>
            <w:r>
              <w:rPr>
                <w:rFonts w:ascii="Arial" w:hAnsi="Arial" w:cs="Arial"/>
                <w:sz w:val="22"/>
                <w:szCs w:val="22"/>
              </w:rPr>
              <w:t>Imposed at first hearing</w:t>
            </w:r>
          </w:p>
        </w:tc>
      </w:tr>
      <w:tr w:rsidR="004771BD" w:rsidRPr="00044376" w14:paraId="1AE3D98B" w14:textId="767526B1" w:rsidTr="004771BD">
        <w:tc>
          <w:tcPr>
            <w:tcW w:w="3297" w:type="dxa"/>
          </w:tcPr>
          <w:p w14:paraId="2B1C983F" w14:textId="56D61487" w:rsidR="004771BD" w:rsidRPr="00044376" w:rsidRDefault="004771BD" w:rsidP="00441B61">
            <w:pPr>
              <w:rPr>
                <w:rFonts w:ascii="Arial" w:hAnsi="Arial" w:cs="Arial"/>
                <w:sz w:val="22"/>
                <w:szCs w:val="22"/>
              </w:rPr>
            </w:pPr>
            <w:r w:rsidRPr="00044376">
              <w:rPr>
                <w:rFonts w:ascii="Arial" w:hAnsi="Arial" w:cs="Arial"/>
                <w:sz w:val="22"/>
                <w:szCs w:val="22"/>
              </w:rPr>
              <w:t xml:space="preserve">Suspension extended </w:t>
            </w:r>
            <w:r>
              <w:rPr>
                <w:rFonts w:ascii="Arial" w:hAnsi="Arial" w:cs="Arial"/>
                <w:sz w:val="22"/>
                <w:szCs w:val="22"/>
              </w:rPr>
              <w:t xml:space="preserve"> (with a review) </w:t>
            </w:r>
          </w:p>
        </w:tc>
        <w:tc>
          <w:tcPr>
            <w:tcW w:w="2904" w:type="dxa"/>
          </w:tcPr>
          <w:p w14:paraId="030967E8" w14:textId="68C65E06" w:rsidR="004771BD" w:rsidRPr="00044376" w:rsidRDefault="004771BD" w:rsidP="00441B61">
            <w:pPr>
              <w:rPr>
                <w:rFonts w:ascii="Arial" w:hAnsi="Arial" w:cs="Arial"/>
                <w:sz w:val="22"/>
                <w:szCs w:val="22"/>
              </w:rPr>
            </w:pPr>
            <w:r>
              <w:rPr>
                <w:rFonts w:ascii="Arial" w:hAnsi="Arial" w:cs="Arial"/>
                <w:sz w:val="22"/>
                <w:szCs w:val="22"/>
              </w:rPr>
              <w:t>8</w:t>
            </w:r>
          </w:p>
        </w:tc>
        <w:tc>
          <w:tcPr>
            <w:tcW w:w="2809" w:type="dxa"/>
          </w:tcPr>
          <w:p w14:paraId="075A4286" w14:textId="1DC55D14" w:rsidR="004771BD" w:rsidRDefault="004771BD" w:rsidP="00441B61">
            <w:pPr>
              <w:rPr>
                <w:rFonts w:ascii="Arial" w:hAnsi="Arial" w:cs="Arial"/>
                <w:sz w:val="22"/>
                <w:szCs w:val="22"/>
              </w:rPr>
            </w:pPr>
            <w:r>
              <w:rPr>
                <w:rFonts w:ascii="Arial" w:hAnsi="Arial" w:cs="Arial"/>
                <w:sz w:val="22"/>
                <w:szCs w:val="22"/>
              </w:rPr>
              <w:t>W</w:t>
            </w:r>
            <w:r w:rsidRPr="00044376">
              <w:rPr>
                <w:rFonts w:ascii="Arial" w:hAnsi="Arial" w:cs="Arial"/>
                <w:sz w:val="22"/>
                <w:szCs w:val="22"/>
              </w:rPr>
              <w:t>here registrant failed to attend a review hearing following an earlier suspension</w:t>
            </w:r>
          </w:p>
        </w:tc>
      </w:tr>
      <w:tr w:rsidR="004771BD" w:rsidRPr="00044376" w14:paraId="517628BF" w14:textId="2CB6C9A6" w:rsidTr="004771BD">
        <w:tc>
          <w:tcPr>
            <w:tcW w:w="3297" w:type="dxa"/>
          </w:tcPr>
          <w:p w14:paraId="321D6E0F" w14:textId="70EBFC2B" w:rsidR="004771BD" w:rsidRPr="00044376" w:rsidRDefault="004771BD" w:rsidP="00441B61">
            <w:pPr>
              <w:rPr>
                <w:rFonts w:ascii="Arial" w:hAnsi="Arial" w:cs="Arial"/>
                <w:sz w:val="22"/>
                <w:szCs w:val="22"/>
              </w:rPr>
            </w:pPr>
            <w:r w:rsidRPr="00044376">
              <w:rPr>
                <w:rFonts w:ascii="Arial" w:hAnsi="Arial" w:cs="Arial"/>
                <w:sz w:val="22"/>
                <w:szCs w:val="22"/>
              </w:rPr>
              <w:t xml:space="preserve">Suspension lifted, Conditions of practice formulated </w:t>
            </w:r>
          </w:p>
        </w:tc>
        <w:tc>
          <w:tcPr>
            <w:tcW w:w="2904" w:type="dxa"/>
          </w:tcPr>
          <w:p w14:paraId="2E1407A6" w14:textId="3C58DDC3" w:rsidR="004771BD" w:rsidRPr="00044376" w:rsidRDefault="00715ED7" w:rsidP="00441B61">
            <w:pPr>
              <w:rPr>
                <w:rFonts w:ascii="Arial" w:hAnsi="Arial" w:cs="Arial"/>
                <w:sz w:val="22"/>
                <w:szCs w:val="22"/>
              </w:rPr>
            </w:pPr>
            <w:r>
              <w:rPr>
                <w:rFonts w:ascii="Arial" w:hAnsi="Arial" w:cs="Arial"/>
                <w:sz w:val="22"/>
                <w:szCs w:val="22"/>
              </w:rPr>
              <w:t>2</w:t>
            </w:r>
          </w:p>
        </w:tc>
        <w:tc>
          <w:tcPr>
            <w:tcW w:w="2809" w:type="dxa"/>
          </w:tcPr>
          <w:p w14:paraId="7B62BD44" w14:textId="3A5E96EA" w:rsidR="004771BD" w:rsidRDefault="004771BD" w:rsidP="00441B61">
            <w:pPr>
              <w:rPr>
                <w:rFonts w:ascii="Arial" w:hAnsi="Arial" w:cs="Arial"/>
                <w:sz w:val="22"/>
                <w:szCs w:val="22"/>
              </w:rPr>
            </w:pPr>
            <w:r>
              <w:rPr>
                <w:rFonts w:ascii="Arial" w:hAnsi="Arial" w:cs="Arial"/>
                <w:sz w:val="22"/>
                <w:szCs w:val="22"/>
              </w:rPr>
              <w:t>A</w:t>
            </w:r>
            <w:r w:rsidRPr="00044376">
              <w:rPr>
                <w:rFonts w:ascii="Arial" w:hAnsi="Arial" w:cs="Arial"/>
                <w:sz w:val="22"/>
                <w:szCs w:val="22"/>
              </w:rPr>
              <w:t>t review</w:t>
            </w:r>
            <w:r>
              <w:rPr>
                <w:rFonts w:ascii="Arial" w:hAnsi="Arial" w:cs="Arial"/>
                <w:sz w:val="22"/>
                <w:szCs w:val="22"/>
              </w:rPr>
              <w:t xml:space="preserve"> hearing</w:t>
            </w:r>
          </w:p>
        </w:tc>
      </w:tr>
      <w:tr w:rsidR="004771BD" w:rsidRPr="00044376" w14:paraId="2B05C07A" w14:textId="1603E359" w:rsidTr="004771BD">
        <w:tc>
          <w:tcPr>
            <w:tcW w:w="3297" w:type="dxa"/>
          </w:tcPr>
          <w:p w14:paraId="3D05FF21" w14:textId="3FD95AC3" w:rsidR="004771BD" w:rsidRPr="00044376" w:rsidRDefault="004771BD" w:rsidP="00441B61">
            <w:pPr>
              <w:rPr>
                <w:rFonts w:ascii="Arial" w:hAnsi="Arial" w:cs="Arial"/>
                <w:sz w:val="22"/>
                <w:szCs w:val="22"/>
              </w:rPr>
            </w:pPr>
            <w:r w:rsidRPr="00044376">
              <w:rPr>
                <w:rFonts w:ascii="Arial" w:hAnsi="Arial" w:cs="Arial"/>
                <w:sz w:val="22"/>
                <w:szCs w:val="22"/>
              </w:rPr>
              <w:t xml:space="preserve">Conditions extended </w:t>
            </w:r>
            <w:r>
              <w:rPr>
                <w:rFonts w:ascii="Arial" w:hAnsi="Arial" w:cs="Arial"/>
                <w:sz w:val="22"/>
                <w:szCs w:val="22"/>
              </w:rPr>
              <w:t>at review hearing</w:t>
            </w:r>
          </w:p>
        </w:tc>
        <w:tc>
          <w:tcPr>
            <w:tcW w:w="2904" w:type="dxa"/>
          </w:tcPr>
          <w:p w14:paraId="2A19635D" w14:textId="1580511D" w:rsidR="004771BD" w:rsidRPr="00044376" w:rsidRDefault="00715ED7" w:rsidP="00441B61">
            <w:pPr>
              <w:rPr>
                <w:rFonts w:ascii="Arial" w:hAnsi="Arial" w:cs="Arial"/>
                <w:sz w:val="22"/>
                <w:szCs w:val="22"/>
              </w:rPr>
            </w:pPr>
            <w:r>
              <w:rPr>
                <w:rFonts w:ascii="Arial" w:hAnsi="Arial" w:cs="Arial"/>
                <w:sz w:val="22"/>
                <w:szCs w:val="22"/>
              </w:rPr>
              <w:t>2</w:t>
            </w:r>
          </w:p>
        </w:tc>
        <w:tc>
          <w:tcPr>
            <w:tcW w:w="2809" w:type="dxa"/>
          </w:tcPr>
          <w:p w14:paraId="2E359ABC" w14:textId="4866A935" w:rsidR="004771BD" w:rsidRDefault="004771BD" w:rsidP="00441B61">
            <w:pPr>
              <w:rPr>
                <w:rFonts w:ascii="Arial" w:hAnsi="Arial" w:cs="Arial"/>
                <w:sz w:val="22"/>
                <w:szCs w:val="22"/>
              </w:rPr>
            </w:pPr>
            <w:r>
              <w:rPr>
                <w:rFonts w:ascii="Arial" w:hAnsi="Arial" w:cs="Arial"/>
                <w:sz w:val="22"/>
                <w:szCs w:val="22"/>
              </w:rPr>
              <w:t>F</w:t>
            </w:r>
            <w:r w:rsidRPr="00044376">
              <w:rPr>
                <w:rFonts w:ascii="Arial" w:hAnsi="Arial" w:cs="Arial"/>
                <w:sz w:val="22"/>
                <w:szCs w:val="22"/>
              </w:rPr>
              <w:t xml:space="preserve">ollowing </w:t>
            </w:r>
            <w:r>
              <w:rPr>
                <w:rFonts w:ascii="Arial" w:hAnsi="Arial" w:cs="Arial"/>
                <w:sz w:val="22"/>
                <w:szCs w:val="22"/>
              </w:rPr>
              <w:t>imposition</w:t>
            </w:r>
            <w:r w:rsidRPr="00044376">
              <w:rPr>
                <w:rFonts w:ascii="Arial" w:hAnsi="Arial" w:cs="Arial"/>
                <w:sz w:val="22"/>
                <w:szCs w:val="22"/>
              </w:rPr>
              <w:t xml:space="preserve"> of conditions at earlier hearing</w:t>
            </w:r>
          </w:p>
        </w:tc>
      </w:tr>
      <w:tr w:rsidR="004771BD" w:rsidRPr="00044376" w14:paraId="690E5E51" w14:textId="597DEA20" w:rsidTr="004771BD">
        <w:tc>
          <w:tcPr>
            <w:tcW w:w="3297" w:type="dxa"/>
          </w:tcPr>
          <w:p w14:paraId="16B5CC0F" w14:textId="5FF5F943" w:rsidR="004771BD" w:rsidRPr="00044376" w:rsidRDefault="004771BD" w:rsidP="00441B61">
            <w:pPr>
              <w:rPr>
                <w:rFonts w:ascii="Arial" w:hAnsi="Arial" w:cs="Arial"/>
                <w:sz w:val="22"/>
                <w:szCs w:val="22"/>
              </w:rPr>
            </w:pPr>
            <w:r w:rsidRPr="00044376">
              <w:rPr>
                <w:rFonts w:ascii="Arial" w:hAnsi="Arial" w:cs="Arial"/>
                <w:sz w:val="22"/>
                <w:szCs w:val="22"/>
              </w:rPr>
              <w:t>Indefinite suspension</w:t>
            </w:r>
          </w:p>
        </w:tc>
        <w:tc>
          <w:tcPr>
            <w:tcW w:w="2904" w:type="dxa"/>
          </w:tcPr>
          <w:p w14:paraId="576216B7" w14:textId="7A6857FA" w:rsidR="004771BD" w:rsidRPr="00044376" w:rsidRDefault="004771BD" w:rsidP="00441B61">
            <w:pPr>
              <w:rPr>
                <w:rFonts w:ascii="Arial" w:hAnsi="Arial" w:cs="Arial"/>
                <w:sz w:val="22"/>
                <w:szCs w:val="22"/>
              </w:rPr>
            </w:pPr>
            <w:r>
              <w:rPr>
                <w:rFonts w:ascii="Arial" w:hAnsi="Arial" w:cs="Arial"/>
                <w:sz w:val="22"/>
                <w:szCs w:val="22"/>
              </w:rPr>
              <w:t>1</w:t>
            </w:r>
          </w:p>
        </w:tc>
        <w:tc>
          <w:tcPr>
            <w:tcW w:w="2809" w:type="dxa"/>
          </w:tcPr>
          <w:p w14:paraId="4E8BA092" w14:textId="42CC6869" w:rsidR="004771BD" w:rsidRDefault="004771BD" w:rsidP="00441B61">
            <w:pPr>
              <w:rPr>
                <w:rFonts w:ascii="Arial" w:hAnsi="Arial" w:cs="Arial"/>
                <w:sz w:val="22"/>
                <w:szCs w:val="22"/>
              </w:rPr>
            </w:pPr>
            <w:r>
              <w:rPr>
                <w:rFonts w:ascii="Arial" w:hAnsi="Arial" w:cs="Arial"/>
                <w:sz w:val="22"/>
                <w:szCs w:val="22"/>
              </w:rPr>
              <w:t>Imposed after repeated failure to engage</w:t>
            </w:r>
            <w:r w:rsidR="00ED3010">
              <w:rPr>
                <w:rFonts w:ascii="Arial" w:hAnsi="Arial" w:cs="Arial"/>
                <w:sz w:val="22"/>
                <w:szCs w:val="22"/>
              </w:rPr>
              <w:t xml:space="preserve"> over an extended period</w:t>
            </w:r>
          </w:p>
        </w:tc>
      </w:tr>
      <w:tr w:rsidR="004771BD" w:rsidRPr="00044376" w14:paraId="28DB5790" w14:textId="5D9BDDCC" w:rsidTr="004771BD">
        <w:tc>
          <w:tcPr>
            <w:tcW w:w="3297" w:type="dxa"/>
          </w:tcPr>
          <w:p w14:paraId="67454295" w14:textId="0684E9E5" w:rsidR="004771BD" w:rsidRPr="00044376" w:rsidRDefault="004771BD" w:rsidP="00441B61">
            <w:pPr>
              <w:rPr>
                <w:rFonts w:ascii="Arial" w:hAnsi="Arial" w:cs="Arial"/>
                <w:sz w:val="22"/>
                <w:szCs w:val="22"/>
              </w:rPr>
            </w:pPr>
            <w:r w:rsidRPr="00044376">
              <w:rPr>
                <w:rFonts w:ascii="Arial" w:hAnsi="Arial" w:cs="Arial"/>
                <w:sz w:val="22"/>
                <w:szCs w:val="22"/>
              </w:rPr>
              <w:t>Erasure</w:t>
            </w:r>
          </w:p>
        </w:tc>
        <w:tc>
          <w:tcPr>
            <w:tcW w:w="2904" w:type="dxa"/>
          </w:tcPr>
          <w:p w14:paraId="67184351" w14:textId="340DA5FF" w:rsidR="004771BD" w:rsidRPr="00044376" w:rsidRDefault="004771BD" w:rsidP="00441B61">
            <w:pPr>
              <w:rPr>
                <w:rFonts w:ascii="Arial" w:hAnsi="Arial" w:cs="Arial"/>
                <w:sz w:val="22"/>
                <w:szCs w:val="22"/>
              </w:rPr>
            </w:pPr>
            <w:r>
              <w:rPr>
                <w:rFonts w:ascii="Arial" w:hAnsi="Arial" w:cs="Arial"/>
                <w:sz w:val="22"/>
                <w:szCs w:val="22"/>
              </w:rPr>
              <w:t>2</w:t>
            </w:r>
          </w:p>
        </w:tc>
        <w:tc>
          <w:tcPr>
            <w:tcW w:w="2809" w:type="dxa"/>
          </w:tcPr>
          <w:p w14:paraId="3F98D65E" w14:textId="159B30BE" w:rsidR="004771BD" w:rsidRDefault="004771BD" w:rsidP="00441B61">
            <w:pPr>
              <w:rPr>
                <w:rFonts w:ascii="Arial" w:hAnsi="Arial" w:cs="Arial"/>
                <w:sz w:val="22"/>
                <w:szCs w:val="22"/>
              </w:rPr>
            </w:pPr>
            <w:r>
              <w:rPr>
                <w:rFonts w:ascii="Arial" w:hAnsi="Arial" w:cs="Arial"/>
                <w:sz w:val="22"/>
                <w:szCs w:val="22"/>
              </w:rPr>
              <w:t>Imposed at first hearing</w:t>
            </w:r>
          </w:p>
        </w:tc>
      </w:tr>
    </w:tbl>
    <w:p w14:paraId="2F91ED73" w14:textId="188C66E7" w:rsidR="00464E7C" w:rsidRDefault="00464E7C" w:rsidP="00DB596B"/>
    <w:p w14:paraId="5D5478F1" w14:textId="5F16894F" w:rsidR="00B1660C" w:rsidRDefault="00B1660C" w:rsidP="00DB596B">
      <w:pPr>
        <w:rPr>
          <w:rFonts w:ascii="Arial" w:hAnsi="Arial" w:cs="Arial"/>
          <w:sz w:val="22"/>
          <w:szCs w:val="22"/>
          <w:u w:val="single"/>
        </w:rPr>
      </w:pPr>
      <w:r w:rsidRPr="003C45F3">
        <w:rPr>
          <w:rFonts w:ascii="Arial" w:hAnsi="Arial" w:cs="Arial"/>
          <w:sz w:val="22"/>
          <w:szCs w:val="22"/>
          <w:u w:val="single"/>
        </w:rPr>
        <w:t>Use of “in guise” (“under guise”) investigation</w:t>
      </w:r>
      <w:r w:rsidR="00026FE0">
        <w:rPr>
          <w:rFonts w:ascii="Arial" w:hAnsi="Arial" w:cs="Arial"/>
          <w:sz w:val="22"/>
          <w:szCs w:val="22"/>
          <w:u w:val="single"/>
        </w:rPr>
        <w:t>s</w:t>
      </w:r>
    </w:p>
    <w:p w14:paraId="7E9E7888" w14:textId="2082FBA2" w:rsidR="00026FE0" w:rsidRDefault="00026FE0" w:rsidP="00DB596B">
      <w:pPr>
        <w:rPr>
          <w:rFonts w:ascii="Arial" w:hAnsi="Arial" w:cs="Arial"/>
          <w:sz w:val="22"/>
          <w:szCs w:val="22"/>
          <w:u w:val="single"/>
        </w:rPr>
      </w:pPr>
    </w:p>
    <w:p w14:paraId="52E30E42" w14:textId="55CD34D7" w:rsidR="003C45F3" w:rsidRPr="00101D97" w:rsidRDefault="00026FE0" w:rsidP="00DB596B">
      <w:pPr>
        <w:rPr>
          <w:rFonts w:ascii="Arial" w:hAnsi="Arial" w:cs="Arial"/>
          <w:sz w:val="22"/>
          <w:szCs w:val="22"/>
        </w:rPr>
      </w:pPr>
      <w:r>
        <w:rPr>
          <w:rFonts w:ascii="Arial" w:hAnsi="Arial" w:cs="Arial"/>
          <w:sz w:val="22"/>
          <w:szCs w:val="22"/>
        </w:rPr>
        <w:t xml:space="preserve">A particular feature of the evidence in </w:t>
      </w:r>
      <w:r w:rsidR="00453E6B">
        <w:rPr>
          <w:rFonts w:ascii="Arial" w:hAnsi="Arial" w:cs="Arial"/>
          <w:sz w:val="22"/>
          <w:szCs w:val="22"/>
        </w:rPr>
        <w:t>four cases was the use by the GDC of investigators “in</w:t>
      </w:r>
      <w:r w:rsidR="007053B4">
        <w:rPr>
          <w:rFonts w:ascii="Arial" w:hAnsi="Arial" w:cs="Arial"/>
          <w:sz w:val="22"/>
          <w:szCs w:val="22"/>
        </w:rPr>
        <w:t>-</w:t>
      </w:r>
      <w:r w:rsidR="00453E6B">
        <w:rPr>
          <w:rFonts w:ascii="Arial" w:hAnsi="Arial" w:cs="Arial"/>
          <w:sz w:val="22"/>
          <w:szCs w:val="22"/>
        </w:rPr>
        <w:t>guise</w:t>
      </w:r>
      <w:r w:rsidR="007053B4">
        <w:rPr>
          <w:rFonts w:ascii="Arial" w:hAnsi="Arial" w:cs="Arial"/>
          <w:sz w:val="22"/>
          <w:szCs w:val="22"/>
        </w:rPr>
        <w:t>” (or “under-guise”), in other words posing as members of the public.  The registrants in these cases were charged with having offered to provide services outside their scope of practice during enquiries by the investigators in relation to “fictitious” potential patients, usually described as “relatives” during the enquiries.</w:t>
      </w:r>
    </w:p>
    <w:p w14:paraId="7ACDE272" w14:textId="47753828" w:rsidR="003C45F3" w:rsidRDefault="003C45F3" w:rsidP="00DB596B">
      <w:pPr>
        <w:rPr>
          <w:rFonts w:ascii="Arial" w:hAnsi="Arial" w:cs="Arial"/>
          <w:sz w:val="22"/>
          <w:szCs w:val="22"/>
          <w:u w:val="single"/>
        </w:rPr>
      </w:pPr>
    </w:p>
    <w:p w14:paraId="76F84366" w14:textId="598B9F84" w:rsidR="003C45F3" w:rsidRPr="00441B61" w:rsidRDefault="003C45F3" w:rsidP="00DB596B">
      <w:pPr>
        <w:rPr>
          <w:rFonts w:ascii="Arial" w:hAnsi="Arial" w:cs="Arial"/>
          <w:b/>
          <w:bCs/>
          <w:sz w:val="22"/>
          <w:szCs w:val="22"/>
          <w:u w:val="single"/>
        </w:rPr>
      </w:pPr>
      <w:r w:rsidRPr="00441B61">
        <w:rPr>
          <w:rFonts w:ascii="Arial" w:hAnsi="Arial" w:cs="Arial"/>
          <w:b/>
          <w:bCs/>
          <w:sz w:val="22"/>
          <w:szCs w:val="22"/>
          <w:u w:val="single"/>
        </w:rPr>
        <w:t>DISCUSSION</w:t>
      </w:r>
    </w:p>
    <w:p w14:paraId="5626BAB1" w14:textId="7A0CD670" w:rsidR="003C45F3" w:rsidRDefault="003C45F3" w:rsidP="00DB596B">
      <w:pPr>
        <w:rPr>
          <w:rFonts w:ascii="Arial" w:hAnsi="Arial" w:cs="Arial"/>
          <w:sz w:val="22"/>
          <w:szCs w:val="22"/>
          <w:u w:val="single"/>
        </w:rPr>
      </w:pPr>
    </w:p>
    <w:p w14:paraId="598B7821" w14:textId="7A2E8DF2" w:rsidR="007C42FC" w:rsidRDefault="002547D7" w:rsidP="00DB596B">
      <w:pPr>
        <w:rPr>
          <w:rFonts w:ascii="Arial" w:eastAsia="Times New Roman" w:hAnsi="Arial" w:cs="Arial"/>
          <w:color w:val="1A1A1A"/>
          <w:sz w:val="22"/>
          <w:szCs w:val="22"/>
          <w:shd w:val="clear" w:color="auto" w:fill="FFFFFF"/>
          <w:lang w:eastAsia="en-GB"/>
        </w:rPr>
      </w:pPr>
      <w:r>
        <w:rPr>
          <w:rFonts w:ascii="Arial" w:eastAsia="Times New Roman" w:hAnsi="Arial" w:cs="Arial"/>
          <w:color w:val="1A1A1A"/>
          <w:sz w:val="22"/>
          <w:szCs w:val="22"/>
          <w:shd w:val="clear" w:color="auto" w:fill="FFFFFF"/>
          <w:lang w:eastAsia="en-GB"/>
        </w:rPr>
        <w:t>This small study clearly has limitations. T</w:t>
      </w:r>
      <w:r w:rsidRPr="007C42FC">
        <w:rPr>
          <w:rFonts w:ascii="Arial" w:eastAsia="Times New Roman" w:hAnsi="Arial" w:cs="Arial"/>
          <w:color w:val="1A1A1A"/>
          <w:sz w:val="22"/>
          <w:szCs w:val="22"/>
          <w:shd w:val="clear" w:color="auto" w:fill="FFFFFF"/>
          <w:lang w:eastAsia="en-GB"/>
        </w:rPr>
        <w:t>he GDC</w:t>
      </w:r>
      <w:r>
        <w:rPr>
          <w:rFonts w:ascii="Arial" w:eastAsia="Times New Roman" w:hAnsi="Arial" w:cs="Arial"/>
          <w:color w:val="1A1A1A"/>
          <w:sz w:val="22"/>
          <w:szCs w:val="22"/>
          <w:shd w:val="clear" w:color="auto" w:fill="FFFFFF"/>
          <w:lang w:eastAsia="en-GB"/>
        </w:rPr>
        <w:t xml:space="preserve"> “</w:t>
      </w:r>
      <w:r>
        <w:rPr>
          <w:rFonts w:ascii="Arial" w:eastAsia="Times New Roman" w:hAnsi="Arial" w:cs="Arial"/>
          <w:color w:val="000000" w:themeColor="text1"/>
          <w:sz w:val="22"/>
          <w:szCs w:val="22"/>
          <w:shd w:val="clear" w:color="auto" w:fill="FFFFFF"/>
          <w:lang w:eastAsia="en-GB"/>
        </w:rPr>
        <w:t xml:space="preserve">Outcomes and Appeals” hearings list </w:t>
      </w:r>
      <w:r w:rsidR="00101D97">
        <w:rPr>
          <w:rFonts w:ascii="Arial" w:eastAsia="Times New Roman" w:hAnsi="Arial" w:cs="Arial"/>
          <w:color w:val="000000" w:themeColor="text1"/>
          <w:sz w:val="22"/>
          <w:szCs w:val="22"/>
          <w:shd w:val="clear" w:color="auto" w:fill="FFFFFF"/>
          <w:lang w:eastAsia="en-GB"/>
        </w:rPr>
        <w:t xml:space="preserve">published </w:t>
      </w:r>
      <w:r>
        <w:rPr>
          <w:rFonts w:ascii="Arial" w:eastAsia="Times New Roman" w:hAnsi="Arial" w:cs="Arial"/>
          <w:color w:val="000000" w:themeColor="text1"/>
          <w:sz w:val="22"/>
          <w:szCs w:val="22"/>
          <w:shd w:val="clear" w:color="auto" w:fill="FFFFFF"/>
          <w:lang w:eastAsia="en-GB"/>
        </w:rPr>
        <w:t xml:space="preserve">online </w:t>
      </w:r>
      <w:r w:rsidRPr="007C42FC">
        <w:rPr>
          <w:rFonts w:ascii="Arial" w:eastAsia="Times New Roman" w:hAnsi="Arial" w:cs="Arial"/>
          <w:color w:val="1A1A1A"/>
          <w:sz w:val="22"/>
          <w:szCs w:val="22"/>
          <w:shd w:val="clear" w:color="auto" w:fill="FFFFFF"/>
          <w:lang w:eastAsia="en-GB"/>
        </w:rPr>
        <w:t xml:space="preserve">does not give information about matters concluded before reaching the stage of a </w:t>
      </w:r>
      <w:r w:rsidR="00101D97">
        <w:rPr>
          <w:rFonts w:ascii="Arial" w:eastAsia="Times New Roman" w:hAnsi="Arial" w:cs="Arial"/>
          <w:color w:val="1A1A1A"/>
          <w:sz w:val="22"/>
          <w:szCs w:val="22"/>
          <w:shd w:val="clear" w:color="auto" w:fill="FFFFFF"/>
          <w:lang w:eastAsia="en-GB"/>
        </w:rPr>
        <w:t xml:space="preserve">full </w:t>
      </w:r>
      <w:r w:rsidRPr="007C42FC">
        <w:rPr>
          <w:rFonts w:ascii="Arial" w:eastAsia="Times New Roman" w:hAnsi="Arial" w:cs="Arial"/>
          <w:color w:val="1A1A1A"/>
          <w:sz w:val="22"/>
          <w:szCs w:val="22"/>
          <w:shd w:val="clear" w:color="auto" w:fill="FFFFFF"/>
          <w:lang w:eastAsia="en-GB"/>
        </w:rPr>
        <w:t>hearing</w:t>
      </w:r>
      <w:r>
        <w:rPr>
          <w:rFonts w:ascii="Arial" w:eastAsia="Times New Roman" w:hAnsi="Arial" w:cs="Arial"/>
          <w:color w:val="1A1A1A"/>
          <w:sz w:val="22"/>
          <w:szCs w:val="22"/>
          <w:shd w:val="clear" w:color="auto" w:fill="FFFFFF"/>
          <w:lang w:eastAsia="en-GB"/>
        </w:rPr>
        <w:t xml:space="preserve">.   In addition, details of hearings which result in a finding of no case to answer, or at which any facts found proved do not amount to misconduct, or </w:t>
      </w:r>
      <w:r w:rsidR="00877FFA">
        <w:rPr>
          <w:rFonts w:ascii="Arial" w:eastAsia="Times New Roman" w:hAnsi="Arial" w:cs="Arial"/>
          <w:color w:val="1A1A1A"/>
          <w:sz w:val="22"/>
          <w:szCs w:val="22"/>
          <w:shd w:val="clear" w:color="auto" w:fill="FFFFFF"/>
          <w:lang w:eastAsia="en-GB"/>
        </w:rPr>
        <w:t xml:space="preserve"> a finding is made of </w:t>
      </w:r>
      <w:r>
        <w:rPr>
          <w:rFonts w:ascii="Arial" w:eastAsia="Times New Roman" w:hAnsi="Arial" w:cs="Arial"/>
          <w:color w:val="1A1A1A"/>
          <w:sz w:val="22"/>
          <w:szCs w:val="22"/>
          <w:shd w:val="clear" w:color="auto" w:fill="FFFFFF"/>
          <w:lang w:eastAsia="en-GB"/>
        </w:rPr>
        <w:t>“no current impairment” do no</w:t>
      </w:r>
      <w:r w:rsidR="00101D97">
        <w:rPr>
          <w:rFonts w:ascii="Arial" w:eastAsia="Times New Roman" w:hAnsi="Arial" w:cs="Arial"/>
          <w:color w:val="1A1A1A"/>
          <w:sz w:val="22"/>
          <w:szCs w:val="22"/>
          <w:shd w:val="clear" w:color="auto" w:fill="FFFFFF"/>
          <w:lang w:eastAsia="en-GB"/>
        </w:rPr>
        <w:t>t typically</w:t>
      </w:r>
      <w:r>
        <w:rPr>
          <w:rFonts w:ascii="Arial" w:eastAsia="Times New Roman" w:hAnsi="Arial" w:cs="Arial"/>
          <w:color w:val="1A1A1A"/>
          <w:sz w:val="22"/>
          <w:szCs w:val="22"/>
          <w:shd w:val="clear" w:color="auto" w:fill="FFFFFF"/>
          <w:lang w:eastAsia="en-GB"/>
        </w:rPr>
        <w:t xml:space="preserve"> remain on the website for long</w:t>
      </w:r>
      <w:r w:rsidR="00877FFA">
        <w:rPr>
          <w:rFonts w:ascii="Arial" w:eastAsia="Times New Roman" w:hAnsi="Arial" w:cs="Arial"/>
          <w:color w:val="1A1A1A"/>
          <w:sz w:val="22"/>
          <w:szCs w:val="22"/>
          <w:shd w:val="clear" w:color="auto" w:fill="FFFFFF"/>
          <w:lang w:eastAsia="en-GB"/>
        </w:rPr>
        <w:t xml:space="preserve"> (although they are initially published after the relevant hearing)</w:t>
      </w:r>
      <w:r>
        <w:rPr>
          <w:rFonts w:ascii="Arial" w:eastAsia="Times New Roman" w:hAnsi="Arial" w:cs="Arial"/>
          <w:color w:val="1A1A1A"/>
          <w:sz w:val="22"/>
          <w:szCs w:val="22"/>
          <w:shd w:val="clear" w:color="auto" w:fill="FFFFFF"/>
          <w:lang w:eastAsia="en-GB"/>
        </w:rPr>
        <w:t xml:space="preserve"> and so are not reliably retrievable using the “filter” facility </w:t>
      </w:r>
      <w:r w:rsidR="00877FFA">
        <w:rPr>
          <w:rFonts w:ascii="Arial" w:eastAsia="Times New Roman" w:hAnsi="Arial" w:cs="Arial"/>
          <w:color w:val="1A1A1A"/>
          <w:sz w:val="22"/>
          <w:szCs w:val="22"/>
          <w:shd w:val="clear" w:color="auto" w:fill="FFFFFF"/>
          <w:lang w:eastAsia="en-GB"/>
        </w:rPr>
        <w:t>methodology used</w:t>
      </w:r>
      <w:r>
        <w:rPr>
          <w:rFonts w:ascii="Arial" w:eastAsia="Times New Roman" w:hAnsi="Arial" w:cs="Arial"/>
          <w:color w:val="1A1A1A"/>
          <w:sz w:val="22"/>
          <w:szCs w:val="22"/>
          <w:shd w:val="clear" w:color="auto" w:fill="FFFFFF"/>
          <w:lang w:eastAsia="en-GB"/>
        </w:rPr>
        <w:t xml:space="preserve">.  </w:t>
      </w:r>
    </w:p>
    <w:p w14:paraId="0BE84D2D" w14:textId="69E56607" w:rsidR="002547D7" w:rsidRDefault="002547D7" w:rsidP="00DB596B">
      <w:pPr>
        <w:rPr>
          <w:rFonts w:ascii="Arial" w:eastAsia="Times New Roman" w:hAnsi="Arial" w:cs="Arial"/>
          <w:color w:val="1A1A1A"/>
          <w:sz w:val="22"/>
          <w:szCs w:val="22"/>
          <w:shd w:val="clear" w:color="auto" w:fill="FFFFFF"/>
          <w:lang w:eastAsia="en-GB"/>
        </w:rPr>
      </w:pPr>
    </w:p>
    <w:p w14:paraId="2087FA9A" w14:textId="1F6855F2" w:rsidR="002547D7" w:rsidRDefault="002547D7" w:rsidP="00DB596B">
      <w:pPr>
        <w:rPr>
          <w:rFonts w:ascii="Arial" w:hAnsi="Arial" w:cs="Arial"/>
          <w:sz w:val="22"/>
          <w:szCs w:val="22"/>
          <w:u w:val="single"/>
        </w:rPr>
      </w:pPr>
      <w:r>
        <w:rPr>
          <w:rFonts w:ascii="Arial" w:eastAsia="Times New Roman" w:hAnsi="Arial" w:cs="Arial"/>
          <w:color w:val="1A1A1A"/>
          <w:sz w:val="22"/>
          <w:szCs w:val="22"/>
          <w:shd w:val="clear" w:color="auto" w:fill="FFFFFF"/>
          <w:lang w:eastAsia="en-GB"/>
        </w:rPr>
        <w:t>Nevertheless a number of general themes appear</w:t>
      </w:r>
      <w:r w:rsidR="003A09D1">
        <w:rPr>
          <w:rFonts w:ascii="Arial" w:eastAsia="Times New Roman" w:hAnsi="Arial" w:cs="Arial"/>
          <w:color w:val="1A1A1A"/>
          <w:sz w:val="22"/>
          <w:szCs w:val="22"/>
          <w:shd w:val="clear" w:color="auto" w:fill="FFFFFF"/>
          <w:lang w:eastAsia="en-GB"/>
        </w:rPr>
        <w:t xml:space="preserve"> to emerge, </w:t>
      </w:r>
      <w:r w:rsidR="00101D97">
        <w:rPr>
          <w:rFonts w:ascii="Arial" w:eastAsia="Times New Roman" w:hAnsi="Arial" w:cs="Arial"/>
          <w:color w:val="1A1A1A"/>
          <w:sz w:val="22"/>
          <w:szCs w:val="22"/>
          <w:shd w:val="clear" w:color="auto" w:fill="FFFFFF"/>
          <w:lang w:eastAsia="en-GB"/>
        </w:rPr>
        <w:t>several</w:t>
      </w:r>
      <w:r w:rsidR="003A09D1">
        <w:rPr>
          <w:rFonts w:ascii="Arial" w:eastAsia="Times New Roman" w:hAnsi="Arial" w:cs="Arial"/>
          <w:color w:val="1A1A1A"/>
          <w:sz w:val="22"/>
          <w:szCs w:val="22"/>
          <w:shd w:val="clear" w:color="auto" w:fill="FFFFFF"/>
          <w:lang w:eastAsia="en-GB"/>
        </w:rPr>
        <w:t xml:space="preserve"> of which may be particularly specific to registered Dental Technicians:</w:t>
      </w:r>
    </w:p>
    <w:p w14:paraId="707EB5B3" w14:textId="77777777" w:rsidR="00DB596B" w:rsidRDefault="00DB596B" w:rsidP="00DB596B">
      <w:pPr>
        <w:rPr>
          <w:u w:val="single"/>
        </w:rPr>
      </w:pPr>
    </w:p>
    <w:p w14:paraId="651EA054" w14:textId="038B9320" w:rsidR="00EE1FC0" w:rsidRDefault="003A09D1" w:rsidP="003A09D1">
      <w:pPr>
        <w:pStyle w:val="ListParagraph"/>
        <w:numPr>
          <w:ilvl w:val="0"/>
          <w:numId w:val="1"/>
        </w:numPr>
        <w:rPr>
          <w:rFonts w:ascii="Arial" w:hAnsi="Arial" w:cs="Arial"/>
          <w:sz w:val="22"/>
          <w:szCs w:val="22"/>
        </w:rPr>
      </w:pPr>
      <w:r w:rsidRPr="00EE1FC0">
        <w:rPr>
          <w:rFonts w:ascii="Arial" w:hAnsi="Arial" w:cs="Arial"/>
          <w:sz w:val="22"/>
          <w:szCs w:val="22"/>
          <w:u w:val="single"/>
        </w:rPr>
        <w:t xml:space="preserve">A significant number of Dental Technicians registrants failed to attend one or more of the </w:t>
      </w:r>
      <w:r w:rsidR="00877FFA" w:rsidRPr="00EE1FC0">
        <w:rPr>
          <w:rFonts w:ascii="Arial" w:hAnsi="Arial" w:cs="Arial"/>
          <w:sz w:val="22"/>
          <w:szCs w:val="22"/>
          <w:u w:val="single"/>
        </w:rPr>
        <w:t>hearings held in relation to them</w:t>
      </w:r>
      <w:r w:rsidR="00EE1FC0">
        <w:rPr>
          <w:rFonts w:ascii="Arial" w:hAnsi="Arial" w:cs="Arial"/>
          <w:sz w:val="22"/>
          <w:szCs w:val="22"/>
          <w:u w:val="single"/>
        </w:rPr>
        <w:t>;</w:t>
      </w:r>
      <w:r w:rsidR="00877FFA">
        <w:rPr>
          <w:rFonts w:ascii="Arial" w:hAnsi="Arial" w:cs="Arial"/>
          <w:sz w:val="22"/>
          <w:szCs w:val="22"/>
        </w:rPr>
        <w:t xml:space="preserve"> </w:t>
      </w:r>
    </w:p>
    <w:p w14:paraId="08359E36" w14:textId="77777777" w:rsidR="00EE1FC0" w:rsidRDefault="00EE1FC0" w:rsidP="00EE1FC0">
      <w:pPr>
        <w:pStyle w:val="ListParagraph"/>
        <w:rPr>
          <w:rFonts w:ascii="Arial" w:hAnsi="Arial" w:cs="Arial"/>
          <w:sz w:val="22"/>
          <w:szCs w:val="22"/>
        </w:rPr>
      </w:pPr>
    </w:p>
    <w:p w14:paraId="65129049" w14:textId="1C97D791" w:rsidR="00006291" w:rsidRDefault="00877FFA" w:rsidP="00EE1FC0">
      <w:pPr>
        <w:pStyle w:val="ListParagraph"/>
        <w:rPr>
          <w:rFonts w:ascii="Arial" w:hAnsi="Arial" w:cs="Arial"/>
          <w:sz w:val="22"/>
          <w:szCs w:val="22"/>
        </w:rPr>
      </w:pPr>
      <w:r>
        <w:rPr>
          <w:rFonts w:ascii="Arial" w:hAnsi="Arial" w:cs="Arial"/>
          <w:sz w:val="22"/>
          <w:szCs w:val="22"/>
        </w:rPr>
        <w:t xml:space="preserve">The ability to demonstrate insight and remediation </w:t>
      </w:r>
      <w:r w:rsidR="007B1291">
        <w:rPr>
          <w:rFonts w:ascii="Arial" w:hAnsi="Arial" w:cs="Arial"/>
          <w:sz w:val="22"/>
          <w:szCs w:val="22"/>
        </w:rPr>
        <w:t xml:space="preserve">in regulatory proceedings </w:t>
      </w:r>
      <w:r>
        <w:rPr>
          <w:rFonts w:ascii="Arial" w:hAnsi="Arial" w:cs="Arial"/>
          <w:sz w:val="22"/>
          <w:szCs w:val="22"/>
        </w:rPr>
        <w:t xml:space="preserve">is inevitably severely hampered by </w:t>
      </w:r>
      <w:r w:rsidR="007B1291">
        <w:rPr>
          <w:rFonts w:ascii="Arial" w:hAnsi="Arial" w:cs="Arial"/>
          <w:sz w:val="22"/>
          <w:szCs w:val="22"/>
        </w:rPr>
        <w:t xml:space="preserve">not engaging.  Several of the cases reviewed, in fact, suggested that </w:t>
      </w:r>
      <w:r w:rsidR="00C842A2">
        <w:rPr>
          <w:rFonts w:ascii="Arial" w:hAnsi="Arial" w:cs="Arial"/>
          <w:sz w:val="22"/>
          <w:szCs w:val="22"/>
        </w:rPr>
        <w:t xml:space="preserve">a </w:t>
      </w:r>
      <w:r w:rsidR="007B1291">
        <w:rPr>
          <w:rFonts w:ascii="Arial" w:hAnsi="Arial" w:cs="Arial"/>
          <w:sz w:val="22"/>
          <w:szCs w:val="22"/>
        </w:rPr>
        <w:t xml:space="preserve">Committee, in effect “left open” the possibility of future engagement and development of insight by a registrant, </w:t>
      </w:r>
      <w:r w:rsidR="00C842A2">
        <w:rPr>
          <w:rFonts w:ascii="Arial" w:hAnsi="Arial" w:cs="Arial"/>
          <w:sz w:val="22"/>
          <w:szCs w:val="22"/>
        </w:rPr>
        <w:t>by applying the sanction of suspension with a review.  S</w:t>
      </w:r>
      <w:r w:rsidR="007B1291">
        <w:rPr>
          <w:rFonts w:ascii="Arial" w:hAnsi="Arial" w:cs="Arial"/>
          <w:sz w:val="22"/>
          <w:szCs w:val="22"/>
        </w:rPr>
        <w:t xml:space="preserve">uggestions as to the type of evidence which might assist a future Committee reviewing the </w:t>
      </w:r>
      <w:r w:rsidR="00C842A2">
        <w:rPr>
          <w:rFonts w:ascii="Arial" w:hAnsi="Arial" w:cs="Arial"/>
          <w:sz w:val="22"/>
          <w:szCs w:val="22"/>
        </w:rPr>
        <w:t xml:space="preserve">issue of ongoing impairment </w:t>
      </w:r>
      <w:r w:rsidR="007B1291">
        <w:rPr>
          <w:rFonts w:ascii="Arial" w:hAnsi="Arial" w:cs="Arial"/>
          <w:sz w:val="22"/>
          <w:szCs w:val="22"/>
        </w:rPr>
        <w:t>in the future</w:t>
      </w:r>
      <w:r w:rsidR="00C842A2">
        <w:rPr>
          <w:rFonts w:ascii="Arial" w:hAnsi="Arial" w:cs="Arial"/>
          <w:sz w:val="22"/>
          <w:szCs w:val="22"/>
        </w:rPr>
        <w:t xml:space="preserve"> were also provided. </w:t>
      </w:r>
    </w:p>
    <w:p w14:paraId="48A28A83" w14:textId="77777777" w:rsidR="008A5DEF" w:rsidRDefault="008A5DEF" w:rsidP="008A5DEF">
      <w:pPr>
        <w:pStyle w:val="ListParagraph"/>
        <w:rPr>
          <w:rFonts w:ascii="Arial" w:hAnsi="Arial" w:cs="Arial"/>
          <w:sz w:val="22"/>
          <w:szCs w:val="22"/>
        </w:rPr>
      </w:pPr>
    </w:p>
    <w:p w14:paraId="45A89633" w14:textId="77777777" w:rsidR="00EE1FC0" w:rsidRPr="00EE1FC0" w:rsidRDefault="008A5DEF" w:rsidP="002C6235">
      <w:pPr>
        <w:pStyle w:val="ListParagraph"/>
        <w:numPr>
          <w:ilvl w:val="0"/>
          <w:numId w:val="1"/>
        </w:numPr>
        <w:rPr>
          <w:rFonts w:ascii="ArialMT" w:hAnsi="ArialMT"/>
          <w:sz w:val="22"/>
          <w:szCs w:val="22"/>
        </w:rPr>
      </w:pPr>
      <w:r w:rsidRPr="00EE1FC0">
        <w:rPr>
          <w:rFonts w:ascii="Arial" w:hAnsi="Arial" w:cs="Arial"/>
          <w:sz w:val="22"/>
          <w:szCs w:val="22"/>
          <w:u w:val="single"/>
        </w:rPr>
        <w:t>Working beyond or offering to work beyond a dental technician’s scope of practice was a frequent charge, accompanied almost always by a charge of dishonesty</w:t>
      </w:r>
      <w:r w:rsidR="00EE1FC0">
        <w:rPr>
          <w:rFonts w:ascii="Arial" w:hAnsi="Arial" w:cs="Arial"/>
          <w:sz w:val="22"/>
          <w:szCs w:val="22"/>
          <w:u w:val="single"/>
        </w:rPr>
        <w:t>:</w:t>
      </w:r>
    </w:p>
    <w:p w14:paraId="0F482938" w14:textId="77777777" w:rsidR="00EE1FC0" w:rsidRDefault="00EE1FC0" w:rsidP="00EE1FC0">
      <w:pPr>
        <w:pStyle w:val="ListParagraph"/>
        <w:rPr>
          <w:rFonts w:ascii="Arial" w:hAnsi="Arial" w:cs="Arial"/>
          <w:sz w:val="22"/>
          <w:szCs w:val="22"/>
          <w:u w:val="single"/>
        </w:rPr>
      </w:pPr>
    </w:p>
    <w:p w14:paraId="2C8A2D2B" w14:textId="658BB0EC" w:rsidR="00E60149" w:rsidRDefault="00DB10A6" w:rsidP="00EE1FC0">
      <w:pPr>
        <w:pStyle w:val="ListParagraph"/>
        <w:rPr>
          <w:rFonts w:ascii="ArialMT" w:hAnsi="ArialMT"/>
          <w:sz w:val="22"/>
          <w:szCs w:val="22"/>
        </w:rPr>
      </w:pPr>
      <w:r>
        <w:rPr>
          <w:rFonts w:ascii="Arial" w:eastAsia="Times New Roman" w:hAnsi="Arial" w:cs="Arial"/>
          <w:color w:val="1A1A1A"/>
          <w:sz w:val="22"/>
          <w:szCs w:val="22"/>
          <w:shd w:val="clear" w:color="auto" w:fill="FFFFFF"/>
          <w:lang w:eastAsia="en-GB"/>
        </w:rPr>
        <w:t xml:space="preserve">Since 2017, the test for dishonesty has been based on </w:t>
      </w:r>
      <w:r w:rsidR="00EE1FC0">
        <w:rPr>
          <w:rFonts w:ascii="Arial" w:eastAsia="Times New Roman" w:hAnsi="Arial" w:cs="Arial"/>
          <w:color w:val="1A1A1A"/>
          <w:sz w:val="22"/>
          <w:szCs w:val="22"/>
          <w:shd w:val="clear" w:color="auto" w:fill="FFFFFF"/>
          <w:lang w:eastAsia="en-GB"/>
        </w:rPr>
        <w:t xml:space="preserve">Supreme Court judgment in the </w:t>
      </w:r>
      <w:r>
        <w:rPr>
          <w:rFonts w:ascii="Arial" w:eastAsia="Times New Roman" w:hAnsi="Arial" w:cs="Arial"/>
          <w:color w:val="1A1A1A"/>
          <w:sz w:val="22"/>
          <w:szCs w:val="22"/>
          <w:shd w:val="clear" w:color="auto" w:fill="FFFFFF"/>
          <w:lang w:eastAsia="en-GB"/>
        </w:rPr>
        <w:t xml:space="preserve">case of </w:t>
      </w:r>
      <w:r w:rsidRPr="0043112F">
        <w:rPr>
          <w:rFonts w:ascii="ArialMT" w:hAnsi="ArialMT"/>
          <w:i/>
          <w:iCs/>
          <w:sz w:val="22"/>
          <w:szCs w:val="22"/>
        </w:rPr>
        <w:t>Ivey v Genting Casinos (UK) Ltd t/a Crockfords</w:t>
      </w:r>
      <w:r>
        <w:rPr>
          <w:rFonts w:ascii="ArialMT" w:hAnsi="ArialMT"/>
          <w:sz w:val="22"/>
          <w:szCs w:val="22"/>
        </w:rPr>
        <w:t xml:space="preserve"> [2017] UKSC 67. In essence, this </w:t>
      </w:r>
      <w:r w:rsidR="00E60149">
        <w:rPr>
          <w:rFonts w:ascii="ArialMT" w:hAnsi="ArialMT"/>
          <w:sz w:val="22"/>
          <w:szCs w:val="22"/>
        </w:rPr>
        <w:t>test is a</w:t>
      </w:r>
      <w:r w:rsidR="002C6235">
        <w:rPr>
          <w:rFonts w:ascii="ArialMT" w:hAnsi="ArialMT"/>
          <w:sz w:val="22"/>
          <w:szCs w:val="22"/>
        </w:rPr>
        <w:t>s</w:t>
      </w:r>
      <w:r w:rsidR="00E60149">
        <w:rPr>
          <w:rFonts w:ascii="ArialMT" w:hAnsi="ArialMT"/>
          <w:sz w:val="22"/>
          <w:szCs w:val="22"/>
        </w:rPr>
        <w:t xml:space="preserve"> shown in Box 2.</w:t>
      </w:r>
    </w:p>
    <w:p w14:paraId="59AEDA6E" w14:textId="6D128DEA" w:rsidR="00E60149" w:rsidRDefault="00E60149" w:rsidP="00DB10A6">
      <w:pPr>
        <w:pStyle w:val="ListParagraph"/>
        <w:rPr>
          <w:rFonts w:ascii="ArialMT" w:hAnsi="ArialMT"/>
          <w:sz w:val="22"/>
          <w:szCs w:val="22"/>
        </w:rPr>
      </w:pPr>
    </w:p>
    <w:p w14:paraId="7BDB4ACE" w14:textId="535F233D" w:rsidR="00E60149" w:rsidRPr="00E60149" w:rsidRDefault="00E60149" w:rsidP="00E60149">
      <w:pPr>
        <w:pStyle w:val="ListParagraph"/>
        <w:ind w:hanging="720"/>
        <w:rPr>
          <w:rFonts w:ascii="ArialMT" w:hAnsi="ArialMT"/>
          <w:sz w:val="22"/>
          <w:szCs w:val="22"/>
          <w:u w:val="single"/>
        </w:rPr>
      </w:pPr>
      <w:r w:rsidRPr="00E60149">
        <w:rPr>
          <w:rFonts w:ascii="ArialMT" w:hAnsi="ArialMT"/>
          <w:sz w:val="22"/>
          <w:szCs w:val="22"/>
          <w:u w:val="single"/>
        </w:rPr>
        <w:t>Box  2</w:t>
      </w:r>
      <w:r>
        <w:rPr>
          <w:rFonts w:ascii="ArialMT" w:hAnsi="ArialMT"/>
          <w:sz w:val="22"/>
          <w:szCs w:val="22"/>
          <w:u w:val="single"/>
        </w:rPr>
        <w:t xml:space="preserve">:  The </w:t>
      </w:r>
      <w:r w:rsidR="002C6235">
        <w:rPr>
          <w:rFonts w:ascii="ArialMT" w:hAnsi="ArialMT"/>
          <w:sz w:val="22"/>
          <w:szCs w:val="22"/>
          <w:u w:val="single"/>
        </w:rPr>
        <w:t>“</w:t>
      </w:r>
      <w:r w:rsidR="002C6235">
        <w:rPr>
          <w:rFonts w:ascii="ArialMT" w:hAnsi="ArialMT"/>
          <w:i/>
          <w:iCs/>
          <w:sz w:val="22"/>
          <w:szCs w:val="22"/>
          <w:u w:val="single"/>
        </w:rPr>
        <w:t xml:space="preserve">Ivey” </w:t>
      </w:r>
      <w:r>
        <w:rPr>
          <w:rFonts w:ascii="ArialMT" w:hAnsi="ArialMT"/>
          <w:sz w:val="22"/>
          <w:szCs w:val="22"/>
          <w:u w:val="single"/>
        </w:rPr>
        <w:t>test for dishonesty</w:t>
      </w:r>
    </w:p>
    <w:p w14:paraId="7955D67E" w14:textId="03D7CFD4" w:rsidR="00E60149" w:rsidRPr="002C6235" w:rsidRDefault="00DB10A6" w:rsidP="00E60149">
      <w:pPr>
        <w:pStyle w:val="NormalWeb"/>
        <w:pBdr>
          <w:top w:val="single" w:sz="4" w:space="1" w:color="auto"/>
          <w:left w:val="single" w:sz="4" w:space="4" w:color="auto"/>
          <w:bottom w:val="single" w:sz="4" w:space="1" w:color="auto"/>
          <w:right w:val="single" w:sz="4" w:space="4" w:color="auto"/>
        </w:pBdr>
        <w:rPr>
          <w:i/>
          <w:iCs/>
        </w:rPr>
      </w:pPr>
      <w:r>
        <w:rPr>
          <w:rFonts w:ascii="ArialMT" w:hAnsi="ArialMT"/>
          <w:sz w:val="22"/>
          <w:szCs w:val="22"/>
        </w:rPr>
        <w:t xml:space="preserve"> </w:t>
      </w:r>
      <w:r w:rsidR="00E60149" w:rsidRPr="002C6235">
        <w:rPr>
          <w:rFonts w:ascii="ArialMT" w:hAnsi="ArialMT"/>
          <w:i/>
          <w:iCs/>
          <w:sz w:val="22"/>
          <w:szCs w:val="22"/>
        </w:rPr>
        <w:t xml:space="preserve">When dishonesty is in question the fact-finding tribunal must first ascertain (subjectively) the actual state of the individual’s knowledge or belief as to the facts. The reasonableness or otherwise of his belief is a matter of evidence (often in practice determinative) going to whether he held the belief, but it is not an additional requirement that his belief must be reasonable; the question is whether it is genuinely held. When once his actual state of mind as to knowledge or belief as to facts is established, the question whether his conduct was honest or dishonest is to be determined by the fact-finder by applying the (objective) standards of ordinary decent people. There is no requirement that the defendant must appreciate that what he has done is, by those standards, dishonest. </w:t>
      </w:r>
    </w:p>
    <w:p w14:paraId="3368D8E1" w14:textId="1EF0F39B" w:rsidR="002C6235" w:rsidRDefault="002C6235" w:rsidP="002C6235">
      <w:pPr>
        <w:ind w:left="567"/>
        <w:rPr>
          <w:rFonts w:ascii="Arial" w:hAnsi="Arial" w:cs="Arial"/>
          <w:sz w:val="22"/>
          <w:szCs w:val="22"/>
        </w:rPr>
      </w:pPr>
      <w:r>
        <w:rPr>
          <w:rFonts w:ascii="Arial" w:hAnsi="Arial" w:cs="Arial"/>
          <w:sz w:val="22"/>
          <w:szCs w:val="22"/>
        </w:rPr>
        <w:t xml:space="preserve">Applying the test for dishonesty to, for example, the situation where a registrant has worked outside their scope of practice, </w:t>
      </w:r>
      <w:r w:rsidR="00EE1FC0">
        <w:rPr>
          <w:rFonts w:ascii="Arial" w:hAnsi="Arial" w:cs="Arial"/>
          <w:sz w:val="22"/>
          <w:szCs w:val="22"/>
        </w:rPr>
        <w:t xml:space="preserve">if the registrant knows their scope of practice, </w:t>
      </w:r>
      <w:r w:rsidR="00EE1FC0">
        <w:rPr>
          <w:rFonts w:ascii="Arial" w:hAnsi="Arial" w:cs="Arial"/>
          <w:sz w:val="22"/>
          <w:szCs w:val="22"/>
        </w:rPr>
        <w:lastRenderedPageBreak/>
        <w:t xml:space="preserve">this almost </w:t>
      </w:r>
      <w:r>
        <w:rPr>
          <w:rFonts w:ascii="Arial" w:hAnsi="Arial" w:cs="Arial"/>
          <w:sz w:val="22"/>
          <w:szCs w:val="22"/>
        </w:rPr>
        <w:t xml:space="preserve">inevitably leads to a finding that the registrant </w:t>
      </w:r>
      <w:r w:rsidR="00EE1FC0">
        <w:rPr>
          <w:rFonts w:ascii="Arial" w:hAnsi="Arial" w:cs="Arial"/>
          <w:sz w:val="22"/>
          <w:szCs w:val="22"/>
        </w:rPr>
        <w:t xml:space="preserve">must have also known </w:t>
      </w:r>
      <w:r>
        <w:rPr>
          <w:rFonts w:ascii="Arial" w:hAnsi="Arial" w:cs="Arial"/>
          <w:sz w:val="22"/>
          <w:szCs w:val="22"/>
        </w:rPr>
        <w:t xml:space="preserve">working outside that scope.  Given that registrants are required to be familiar with their scope of practice under Standards for the Dental Team, it is only very unusually that a registrant can argue that they did not have the requisite knowledge or belief (the subjective test). The subsequent application of the second, objective limb of the </w:t>
      </w:r>
      <w:r>
        <w:rPr>
          <w:rFonts w:ascii="Arial" w:hAnsi="Arial" w:cs="Arial"/>
          <w:i/>
          <w:iCs/>
          <w:sz w:val="22"/>
          <w:szCs w:val="22"/>
        </w:rPr>
        <w:t>Ivey</w:t>
      </w:r>
      <w:r>
        <w:rPr>
          <w:rFonts w:ascii="Arial" w:hAnsi="Arial" w:cs="Arial"/>
          <w:sz w:val="22"/>
          <w:szCs w:val="22"/>
        </w:rPr>
        <w:t xml:space="preserve"> test, (the standards of ordinary decent people) then almost automatically produces a finding of dishonesty. If a person knew that they should not have been working outside their scope of practice yet still did so, they would be dishonest </w:t>
      </w:r>
      <w:r w:rsidR="008670D2">
        <w:rPr>
          <w:rFonts w:ascii="Arial" w:hAnsi="Arial" w:cs="Arial"/>
          <w:sz w:val="22"/>
          <w:szCs w:val="22"/>
        </w:rPr>
        <w:t>in so doing.</w:t>
      </w:r>
    </w:p>
    <w:p w14:paraId="5854F532" w14:textId="77777777" w:rsidR="002C6235" w:rsidRDefault="002C6235" w:rsidP="002C6235">
      <w:pPr>
        <w:ind w:left="567"/>
        <w:rPr>
          <w:rFonts w:ascii="Arial" w:hAnsi="Arial" w:cs="Arial"/>
          <w:sz w:val="22"/>
          <w:szCs w:val="22"/>
        </w:rPr>
      </w:pPr>
    </w:p>
    <w:p w14:paraId="4E4F679D" w14:textId="1C2FC62D" w:rsidR="002C6235" w:rsidRDefault="002C6235" w:rsidP="002C6235">
      <w:pPr>
        <w:shd w:val="clear" w:color="auto" w:fill="FFFFFF"/>
        <w:ind w:left="567"/>
        <w:rPr>
          <w:rFonts w:ascii="Arial" w:eastAsia="Times New Roman" w:hAnsi="Arial" w:cs="Arial"/>
          <w:color w:val="000000" w:themeColor="text1"/>
          <w:sz w:val="22"/>
          <w:szCs w:val="22"/>
          <w:lang w:eastAsia="en-GB"/>
        </w:rPr>
      </w:pPr>
      <w:r w:rsidRPr="002547D7">
        <w:rPr>
          <w:rFonts w:ascii="Arial" w:hAnsi="Arial" w:cs="Arial"/>
          <w:sz w:val="22"/>
          <w:szCs w:val="22"/>
        </w:rPr>
        <w:t xml:space="preserve">The determinations reviewed do, in fact, include two instances where dishonesty was not found proved, notwithstanding this analysis.  </w:t>
      </w:r>
      <w:r w:rsidRPr="008670D2">
        <w:rPr>
          <w:rFonts w:ascii="Arial" w:eastAsia="Times New Roman" w:hAnsi="Arial" w:cs="Arial"/>
          <w:color w:val="000000" w:themeColor="text1"/>
          <w:sz w:val="22"/>
          <w:szCs w:val="22"/>
          <w:lang w:eastAsia="en-GB"/>
        </w:rPr>
        <w:t xml:space="preserve">These two cases are, however, distinctly fact specific. </w:t>
      </w:r>
      <w:r w:rsidRPr="008670D2">
        <w:rPr>
          <w:rFonts w:ascii="Arial" w:hAnsi="Arial" w:cs="Arial"/>
          <w:color w:val="000000" w:themeColor="text1"/>
          <w:sz w:val="22"/>
          <w:szCs w:val="22"/>
        </w:rPr>
        <w:t xml:space="preserve">The first was where an offer to </w:t>
      </w:r>
      <w:r w:rsidRPr="008670D2">
        <w:rPr>
          <w:rFonts w:ascii="Arial" w:eastAsia="Times New Roman" w:hAnsi="Arial" w:cs="Arial"/>
          <w:color w:val="000000" w:themeColor="text1"/>
          <w:sz w:val="22"/>
          <w:szCs w:val="22"/>
          <w:lang w:eastAsia="en-GB"/>
        </w:rPr>
        <w:t xml:space="preserve">provide services outside scope of practice (to ‘under-guise’ investigators) was found to be misleading and to lack integrity but not to be dishonest. </w:t>
      </w:r>
      <w:r w:rsidR="008670D2">
        <w:rPr>
          <w:rFonts w:ascii="Arial" w:eastAsia="Times New Roman" w:hAnsi="Arial" w:cs="Arial"/>
          <w:color w:val="000000" w:themeColor="text1"/>
          <w:sz w:val="22"/>
          <w:szCs w:val="22"/>
          <w:lang w:eastAsia="en-GB"/>
        </w:rPr>
        <w:t>It is not fully clear from the determination why this conclusion was reached, although t</w:t>
      </w:r>
      <w:r w:rsidRPr="008670D2">
        <w:rPr>
          <w:rFonts w:ascii="Arial" w:eastAsia="Times New Roman" w:hAnsi="Arial" w:cs="Arial"/>
          <w:color w:val="000000" w:themeColor="text1"/>
          <w:sz w:val="22"/>
          <w:szCs w:val="22"/>
          <w:lang w:eastAsia="en-GB"/>
        </w:rPr>
        <w:t xml:space="preserve">here was no finding that the registrant had actually provided services outside the scope of practice as distinct from offering to do so.  The second was where a registrant failed to report a criminal conviction.  The failure to report on the very specific facts of the case was found to be misleading, but not lacking in integrity or dishonest because of the registrant’s poor understanding of English and what was found to be </w:t>
      </w:r>
      <w:r w:rsidR="008670D2">
        <w:rPr>
          <w:rFonts w:ascii="Arial" w:eastAsia="Times New Roman" w:hAnsi="Arial" w:cs="Arial"/>
          <w:color w:val="000000" w:themeColor="text1"/>
          <w:sz w:val="22"/>
          <w:szCs w:val="22"/>
          <w:lang w:eastAsia="en-GB"/>
        </w:rPr>
        <w:t xml:space="preserve">his </w:t>
      </w:r>
      <w:r w:rsidRPr="008670D2">
        <w:rPr>
          <w:rFonts w:ascii="Arial" w:eastAsia="Times New Roman" w:hAnsi="Arial" w:cs="Arial"/>
          <w:color w:val="000000" w:themeColor="text1"/>
          <w:sz w:val="22"/>
          <w:szCs w:val="22"/>
          <w:lang w:eastAsia="en-GB"/>
        </w:rPr>
        <w:t xml:space="preserve">genuinely held belief that there was no need to inform.  </w:t>
      </w:r>
    </w:p>
    <w:p w14:paraId="6FD28031" w14:textId="798CBB74" w:rsidR="008670D2" w:rsidRDefault="008670D2" w:rsidP="002C6235">
      <w:pPr>
        <w:shd w:val="clear" w:color="auto" w:fill="FFFFFF"/>
        <w:ind w:left="567"/>
        <w:rPr>
          <w:rFonts w:ascii="Arial" w:eastAsia="Times New Roman" w:hAnsi="Arial" w:cs="Arial"/>
          <w:color w:val="000000" w:themeColor="text1"/>
          <w:sz w:val="22"/>
          <w:szCs w:val="22"/>
          <w:lang w:eastAsia="en-GB"/>
        </w:rPr>
      </w:pPr>
    </w:p>
    <w:p w14:paraId="27004176" w14:textId="77777777" w:rsidR="008670D2" w:rsidRPr="002547D7" w:rsidRDefault="008670D2" w:rsidP="002C6235">
      <w:pPr>
        <w:shd w:val="clear" w:color="auto" w:fill="FFFFFF"/>
        <w:ind w:left="567"/>
        <w:rPr>
          <w:rFonts w:ascii="Arial" w:eastAsia="Times New Roman" w:hAnsi="Arial" w:cs="Arial"/>
          <w:color w:val="333333"/>
          <w:sz w:val="22"/>
          <w:szCs w:val="22"/>
          <w:lang w:eastAsia="en-GB"/>
        </w:rPr>
      </w:pPr>
    </w:p>
    <w:p w14:paraId="4AEBC1D4" w14:textId="77777777" w:rsidR="0020264F" w:rsidRDefault="008670D2" w:rsidP="008670D2">
      <w:pPr>
        <w:pStyle w:val="ListParagraph"/>
        <w:numPr>
          <w:ilvl w:val="0"/>
          <w:numId w:val="1"/>
        </w:numPr>
        <w:rPr>
          <w:rFonts w:ascii="Arial" w:hAnsi="Arial" w:cs="Arial"/>
          <w:sz w:val="22"/>
          <w:szCs w:val="22"/>
        </w:rPr>
      </w:pPr>
      <w:r w:rsidRPr="00527062">
        <w:rPr>
          <w:rFonts w:ascii="Arial" w:hAnsi="Arial" w:cs="Arial"/>
          <w:sz w:val="22"/>
          <w:szCs w:val="22"/>
        </w:rPr>
        <w:t>T</w:t>
      </w:r>
      <w:r w:rsidRPr="00EE1FC0">
        <w:rPr>
          <w:rFonts w:ascii="Arial" w:hAnsi="Arial" w:cs="Arial"/>
          <w:sz w:val="22"/>
          <w:szCs w:val="22"/>
          <w:u w:val="single"/>
        </w:rPr>
        <w:t>he most frequent sanction for the Dental Technician registrants was suspension</w:t>
      </w:r>
      <w:r w:rsidR="0020264F">
        <w:rPr>
          <w:rFonts w:ascii="Arial" w:hAnsi="Arial" w:cs="Arial"/>
          <w:sz w:val="22"/>
          <w:szCs w:val="22"/>
        </w:rPr>
        <w:t>:</w:t>
      </w:r>
    </w:p>
    <w:p w14:paraId="79D8ED71" w14:textId="77777777" w:rsidR="0020264F" w:rsidRDefault="0020264F" w:rsidP="0020264F">
      <w:pPr>
        <w:pStyle w:val="ListParagraph"/>
        <w:rPr>
          <w:rFonts w:ascii="Arial" w:hAnsi="Arial" w:cs="Arial"/>
          <w:sz w:val="22"/>
          <w:szCs w:val="22"/>
        </w:rPr>
      </w:pPr>
    </w:p>
    <w:p w14:paraId="05ADEF05" w14:textId="0BCF9689" w:rsidR="008670D2" w:rsidRDefault="008670D2" w:rsidP="0020264F">
      <w:pPr>
        <w:pStyle w:val="ListParagraph"/>
        <w:rPr>
          <w:rFonts w:ascii="Arial" w:hAnsi="Arial" w:cs="Arial"/>
          <w:sz w:val="22"/>
          <w:szCs w:val="22"/>
        </w:rPr>
      </w:pPr>
      <w:r w:rsidRPr="00527062">
        <w:rPr>
          <w:rFonts w:ascii="Arial" w:hAnsi="Arial" w:cs="Arial"/>
          <w:sz w:val="22"/>
          <w:szCs w:val="22"/>
        </w:rPr>
        <w:t xml:space="preserve">In the circumstances, this is not </w:t>
      </w:r>
      <w:r>
        <w:rPr>
          <w:rFonts w:ascii="Arial" w:hAnsi="Arial" w:cs="Arial"/>
          <w:sz w:val="22"/>
          <w:szCs w:val="22"/>
        </w:rPr>
        <w:t xml:space="preserve">particularly </w:t>
      </w:r>
      <w:r w:rsidRPr="00527062">
        <w:rPr>
          <w:rFonts w:ascii="Arial" w:hAnsi="Arial" w:cs="Arial"/>
          <w:sz w:val="22"/>
          <w:szCs w:val="22"/>
        </w:rPr>
        <w:t>surprising</w:t>
      </w:r>
      <w:r>
        <w:rPr>
          <w:rFonts w:ascii="Arial" w:hAnsi="Arial" w:cs="Arial"/>
          <w:sz w:val="22"/>
          <w:szCs w:val="22"/>
        </w:rPr>
        <w:t>:</w:t>
      </w:r>
    </w:p>
    <w:p w14:paraId="37579139" w14:textId="26AFBF26" w:rsidR="008670D2" w:rsidRDefault="008670D2" w:rsidP="008670D2">
      <w:pPr>
        <w:pStyle w:val="ListParagraph"/>
        <w:numPr>
          <w:ilvl w:val="2"/>
          <w:numId w:val="1"/>
        </w:numPr>
        <w:ind w:left="1134" w:hanging="283"/>
        <w:rPr>
          <w:rFonts w:ascii="Arial" w:hAnsi="Arial" w:cs="Arial"/>
          <w:sz w:val="22"/>
          <w:szCs w:val="22"/>
        </w:rPr>
      </w:pPr>
      <w:r>
        <w:rPr>
          <w:rFonts w:ascii="Arial" w:hAnsi="Arial" w:cs="Arial"/>
          <w:sz w:val="22"/>
          <w:szCs w:val="22"/>
        </w:rPr>
        <w:t>Firstly, o</w:t>
      </w:r>
      <w:r w:rsidRPr="00527062">
        <w:rPr>
          <w:rFonts w:ascii="Arial" w:hAnsi="Arial" w:cs="Arial"/>
          <w:sz w:val="22"/>
          <w:szCs w:val="22"/>
        </w:rPr>
        <w:t xml:space="preserve">ther groups of registrants, particularly dentists, commonly face allegations of misconduct relating to clinical practice where protection of the public is the chief concern.  In such cases, formulation of conditions of practice may be sufficient both to protect the public and also </w:t>
      </w:r>
      <w:r>
        <w:rPr>
          <w:rFonts w:ascii="Arial" w:hAnsi="Arial" w:cs="Arial"/>
          <w:sz w:val="22"/>
          <w:szCs w:val="22"/>
        </w:rPr>
        <w:t>to address</w:t>
      </w:r>
      <w:r w:rsidRPr="00527062">
        <w:rPr>
          <w:rFonts w:ascii="Arial" w:hAnsi="Arial" w:cs="Arial"/>
          <w:sz w:val="22"/>
          <w:szCs w:val="22"/>
        </w:rPr>
        <w:t xml:space="preserve"> the requirement to maintain public confidence in the profession and its regulator.  Given the scope of practice of dental technicians</w:t>
      </w:r>
      <w:r w:rsidR="00441B61">
        <w:rPr>
          <w:rFonts w:ascii="Arial" w:hAnsi="Arial" w:cs="Arial"/>
          <w:sz w:val="22"/>
          <w:szCs w:val="22"/>
        </w:rPr>
        <w:t>,</w:t>
      </w:r>
      <w:r w:rsidRPr="00527062">
        <w:rPr>
          <w:rFonts w:ascii="Arial" w:hAnsi="Arial" w:cs="Arial"/>
          <w:sz w:val="22"/>
          <w:szCs w:val="22"/>
        </w:rPr>
        <w:t xml:space="preserve"> it is relatively unusual to be able to formulate conditions of practice </w:t>
      </w:r>
      <w:r w:rsidR="00441B61">
        <w:rPr>
          <w:rFonts w:ascii="Arial" w:hAnsi="Arial" w:cs="Arial"/>
          <w:sz w:val="22"/>
          <w:szCs w:val="22"/>
        </w:rPr>
        <w:t>additional to abiding by the requirement to work within the scope of practice</w:t>
      </w:r>
      <w:r w:rsidR="00A66F25">
        <w:rPr>
          <w:rFonts w:ascii="Arial" w:hAnsi="Arial" w:cs="Arial"/>
          <w:sz w:val="22"/>
          <w:szCs w:val="22"/>
        </w:rPr>
        <w:t xml:space="preserve"> which is required in any event.  Something more is often required in order to protect the public unless the Committee can be satisfied of full insight and very low risk of repetition of misconduct.  </w:t>
      </w:r>
    </w:p>
    <w:p w14:paraId="049F2DC8" w14:textId="6164EB51" w:rsidR="008670D2" w:rsidRPr="00AB2D56" w:rsidRDefault="008670D2" w:rsidP="008670D2">
      <w:pPr>
        <w:pStyle w:val="ListParagraph"/>
        <w:numPr>
          <w:ilvl w:val="2"/>
          <w:numId w:val="1"/>
        </w:numPr>
        <w:ind w:left="1134" w:hanging="283"/>
        <w:rPr>
          <w:rFonts w:ascii="Arial" w:hAnsi="Arial" w:cs="Arial"/>
          <w:color w:val="000000" w:themeColor="text1"/>
          <w:sz w:val="22"/>
          <w:szCs w:val="22"/>
        </w:rPr>
      </w:pPr>
      <w:r>
        <w:rPr>
          <w:rFonts w:ascii="Arial" w:hAnsi="Arial" w:cs="Arial"/>
          <w:sz w:val="22"/>
          <w:szCs w:val="22"/>
        </w:rPr>
        <w:t xml:space="preserve">Secondly, when there is a finding of dishonesty, </w:t>
      </w:r>
      <w:r w:rsidRPr="003A09D1">
        <w:rPr>
          <w:rFonts w:ascii="Arial" w:hAnsi="Arial" w:cs="Arial"/>
          <w:sz w:val="22"/>
          <w:szCs w:val="22"/>
        </w:rPr>
        <w:t xml:space="preserve">public interest and maintenance of public confidence in the profession and regulator is </w:t>
      </w:r>
      <w:r w:rsidR="00A66F25">
        <w:rPr>
          <w:rFonts w:ascii="Arial" w:hAnsi="Arial" w:cs="Arial"/>
          <w:sz w:val="22"/>
          <w:szCs w:val="22"/>
        </w:rPr>
        <w:t xml:space="preserve">a very </w:t>
      </w:r>
      <w:r w:rsidRPr="003A09D1">
        <w:rPr>
          <w:rFonts w:ascii="Arial" w:hAnsi="Arial" w:cs="Arial"/>
          <w:sz w:val="22"/>
          <w:szCs w:val="22"/>
        </w:rPr>
        <w:t>ma</w:t>
      </w:r>
      <w:r w:rsidR="00543787">
        <w:rPr>
          <w:rFonts w:ascii="Arial" w:hAnsi="Arial" w:cs="Arial"/>
          <w:sz w:val="22"/>
          <w:szCs w:val="22"/>
        </w:rPr>
        <w:t>jor</w:t>
      </w:r>
      <w:r w:rsidRPr="003A09D1">
        <w:rPr>
          <w:rFonts w:ascii="Arial" w:hAnsi="Arial" w:cs="Arial"/>
          <w:sz w:val="22"/>
          <w:szCs w:val="22"/>
        </w:rPr>
        <w:t xml:space="preserve"> consideration</w:t>
      </w:r>
      <w:r w:rsidR="00543787">
        <w:rPr>
          <w:rFonts w:ascii="Arial" w:hAnsi="Arial" w:cs="Arial"/>
          <w:sz w:val="22"/>
          <w:szCs w:val="22"/>
        </w:rPr>
        <w:t>.</w:t>
      </w:r>
      <w:r w:rsidR="00543787" w:rsidRPr="00543787">
        <w:rPr>
          <w:rFonts w:ascii="Arial" w:eastAsia="Times New Roman" w:hAnsi="Arial" w:cs="Arial"/>
          <w:color w:val="333333"/>
          <w:sz w:val="22"/>
          <w:szCs w:val="22"/>
          <w:lang w:eastAsia="en-GB"/>
        </w:rPr>
        <w:t xml:space="preserve"> </w:t>
      </w:r>
      <w:r w:rsidR="00543787" w:rsidRPr="00543787">
        <w:rPr>
          <w:rFonts w:ascii="Arial" w:eastAsia="Times New Roman" w:hAnsi="Arial" w:cs="Arial"/>
          <w:color w:val="000000" w:themeColor="text1"/>
          <w:sz w:val="22"/>
          <w:szCs w:val="22"/>
          <w:lang w:eastAsia="en-GB"/>
        </w:rPr>
        <w:t xml:space="preserve">In considering sanction, </w:t>
      </w:r>
      <w:r w:rsidR="00543787">
        <w:rPr>
          <w:rFonts w:ascii="Arial" w:eastAsia="Times New Roman" w:hAnsi="Arial" w:cs="Arial"/>
          <w:color w:val="000000" w:themeColor="text1"/>
          <w:sz w:val="22"/>
          <w:szCs w:val="22"/>
          <w:lang w:eastAsia="en-GB"/>
        </w:rPr>
        <w:t>t</w:t>
      </w:r>
      <w:r w:rsidR="00543787" w:rsidRPr="00543787">
        <w:rPr>
          <w:rFonts w:ascii="Arial" w:eastAsia="Times New Roman" w:hAnsi="Arial" w:cs="Arial"/>
          <w:color w:val="000000" w:themeColor="text1"/>
          <w:sz w:val="22"/>
          <w:szCs w:val="22"/>
          <w:lang w:eastAsia="en-GB"/>
        </w:rPr>
        <w:t xml:space="preserve">he Committee will </w:t>
      </w:r>
      <w:r w:rsidR="00543787">
        <w:rPr>
          <w:rFonts w:ascii="Arial" w:eastAsia="Times New Roman" w:hAnsi="Arial" w:cs="Arial"/>
          <w:color w:val="000000" w:themeColor="text1"/>
          <w:sz w:val="22"/>
          <w:szCs w:val="22"/>
          <w:lang w:eastAsia="en-GB"/>
        </w:rPr>
        <w:t xml:space="preserve">consider </w:t>
      </w:r>
      <w:r w:rsidR="00C366A4">
        <w:rPr>
          <w:rFonts w:ascii="Arial" w:eastAsia="Times New Roman" w:hAnsi="Arial" w:cs="Arial"/>
          <w:color w:val="000000" w:themeColor="text1"/>
          <w:sz w:val="22"/>
          <w:szCs w:val="22"/>
          <w:lang w:eastAsia="en-GB"/>
        </w:rPr>
        <w:t xml:space="preserve">what is required to address the dishonest conduct and the potentially damaging effect the specific dishonest conduct (and any aggravating and mitigating factors) will have had on the reputation of the profession and the public’s confidence in dental care professionals.  It will consider </w:t>
      </w:r>
      <w:r w:rsidR="00543787" w:rsidRPr="00543787">
        <w:rPr>
          <w:rFonts w:ascii="Arial" w:eastAsia="Times New Roman" w:hAnsi="Arial" w:cs="Arial"/>
          <w:color w:val="000000" w:themeColor="text1"/>
          <w:sz w:val="22"/>
          <w:szCs w:val="22"/>
          <w:lang w:eastAsia="en-GB"/>
        </w:rPr>
        <w:t xml:space="preserve">the </w:t>
      </w:r>
      <w:r w:rsidR="00441B61">
        <w:rPr>
          <w:rFonts w:ascii="Arial" w:eastAsia="Times New Roman" w:hAnsi="Arial" w:cs="Arial"/>
          <w:color w:val="000000" w:themeColor="text1"/>
          <w:sz w:val="22"/>
          <w:szCs w:val="22"/>
          <w:lang w:eastAsia="en-GB"/>
        </w:rPr>
        <w:t>“</w:t>
      </w:r>
      <w:r w:rsidR="00543787">
        <w:rPr>
          <w:rFonts w:ascii="Arial" w:eastAsia="Times New Roman" w:hAnsi="Arial" w:cs="Arial"/>
          <w:color w:val="000000" w:themeColor="text1"/>
          <w:sz w:val="22"/>
          <w:szCs w:val="22"/>
          <w:lang w:eastAsia="en-GB"/>
        </w:rPr>
        <w:t>I</w:t>
      </w:r>
      <w:r w:rsidR="00543787" w:rsidRPr="00543787">
        <w:rPr>
          <w:rFonts w:ascii="Arial" w:eastAsia="Times New Roman" w:hAnsi="Arial" w:cs="Arial"/>
          <w:color w:val="000000" w:themeColor="text1"/>
          <w:sz w:val="22"/>
          <w:szCs w:val="22"/>
          <w:lang w:eastAsia="en-GB"/>
        </w:rPr>
        <w:t xml:space="preserve">ndicative </w:t>
      </w:r>
      <w:r w:rsidR="00543787">
        <w:rPr>
          <w:rFonts w:ascii="Arial" w:eastAsia="Times New Roman" w:hAnsi="Arial" w:cs="Arial"/>
          <w:color w:val="000000" w:themeColor="text1"/>
          <w:sz w:val="22"/>
          <w:szCs w:val="22"/>
          <w:lang w:eastAsia="en-GB"/>
        </w:rPr>
        <w:t>S</w:t>
      </w:r>
      <w:r w:rsidR="00543787" w:rsidRPr="00543787">
        <w:rPr>
          <w:rFonts w:ascii="Arial" w:eastAsia="Times New Roman" w:hAnsi="Arial" w:cs="Arial"/>
          <w:color w:val="000000" w:themeColor="text1"/>
          <w:sz w:val="22"/>
          <w:szCs w:val="22"/>
          <w:lang w:eastAsia="en-GB"/>
        </w:rPr>
        <w:t xml:space="preserve">anctions </w:t>
      </w:r>
      <w:r w:rsidR="00543787">
        <w:rPr>
          <w:rFonts w:ascii="Arial" w:eastAsia="Times New Roman" w:hAnsi="Arial" w:cs="Arial"/>
          <w:color w:val="000000" w:themeColor="text1"/>
          <w:sz w:val="22"/>
          <w:szCs w:val="22"/>
          <w:lang w:eastAsia="en-GB"/>
        </w:rPr>
        <w:t>G</w:t>
      </w:r>
      <w:r w:rsidR="00543787" w:rsidRPr="00543787">
        <w:rPr>
          <w:rFonts w:ascii="Arial" w:eastAsia="Times New Roman" w:hAnsi="Arial" w:cs="Arial"/>
          <w:color w:val="000000" w:themeColor="text1"/>
          <w:sz w:val="22"/>
          <w:szCs w:val="22"/>
          <w:lang w:eastAsia="en-GB"/>
        </w:rPr>
        <w:t>uidance</w:t>
      </w:r>
      <w:r w:rsidR="00441B61">
        <w:rPr>
          <w:rFonts w:ascii="Arial" w:eastAsia="Times New Roman" w:hAnsi="Arial" w:cs="Arial"/>
          <w:color w:val="000000" w:themeColor="text1"/>
          <w:sz w:val="22"/>
          <w:szCs w:val="22"/>
          <w:lang w:eastAsia="en-GB"/>
        </w:rPr>
        <w:t>”</w:t>
      </w:r>
      <w:r w:rsidR="00543787">
        <w:rPr>
          <w:rStyle w:val="FootnoteReference"/>
          <w:rFonts w:ascii="Arial" w:eastAsia="Times New Roman" w:hAnsi="Arial" w:cs="Arial"/>
          <w:color w:val="000000" w:themeColor="text1"/>
          <w:sz w:val="22"/>
          <w:szCs w:val="22"/>
          <w:lang w:eastAsia="en-GB"/>
        </w:rPr>
        <w:footnoteReference w:id="9"/>
      </w:r>
      <w:r w:rsidR="00A66F25">
        <w:rPr>
          <w:rFonts w:ascii="Arial" w:eastAsia="Times New Roman" w:hAnsi="Arial" w:cs="Arial"/>
          <w:color w:val="000000" w:themeColor="text1"/>
          <w:sz w:val="22"/>
          <w:szCs w:val="22"/>
          <w:lang w:eastAsia="en-GB"/>
        </w:rPr>
        <w:t xml:space="preserve">. </w:t>
      </w:r>
      <w:r w:rsidR="00464DE4">
        <w:rPr>
          <w:rFonts w:ascii="Arial" w:eastAsia="Times New Roman" w:hAnsi="Arial" w:cs="Arial"/>
          <w:color w:val="000000" w:themeColor="text1"/>
          <w:sz w:val="22"/>
          <w:szCs w:val="22"/>
          <w:lang w:eastAsia="en-GB"/>
        </w:rPr>
        <w:t>In this Guidance, suspension:</w:t>
      </w:r>
    </w:p>
    <w:p w14:paraId="5F0A8020" w14:textId="77777777" w:rsidR="00AB2D56" w:rsidRPr="00464DE4" w:rsidRDefault="00AB2D56" w:rsidP="00AB2D56">
      <w:pPr>
        <w:pStyle w:val="ListParagraph"/>
        <w:ind w:left="1134"/>
        <w:rPr>
          <w:rFonts w:ascii="Arial" w:hAnsi="Arial" w:cs="Arial"/>
          <w:color w:val="000000" w:themeColor="text1"/>
          <w:sz w:val="22"/>
          <w:szCs w:val="22"/>
        </w:rPr>
      </w:pPr>
    </w:p>
    <w:p w14:paraId="2AD897C9" w14:textId="79F7499E" w:rsidR="00464DE4" w:rsidRDefault="00464DE4" w:rsidP="00464DE4">
      <w:pPr>
        <w:pStyle w:val="ListParagraph"/>
        <w:ind w:left="1134"/>
        <w:rPr>
          <w:rFonts w:ascii="Arial" w:hAnsi="Arial" w:cs="Arial"/>
          <w:i/>
          <w:iCs/>
          <w:sz w:val="22"/>
          <w:szCs w:val="22"/>
        </w:rPr>
      </w:pPr>
      <w:r>
        <w:rPr>
          <w:rFonts w:ascii="Arial" w:hAnsi="Arial" w:cs="Arial"/>
          <w:sz w:val="22"/>
          <w:szCs w:val="22"/>
        </w:rPr>
        <w:t>“</w:t>
      </w:r>
      <w:r>
        <w:rPr>
          <w:rFonts w:ascii="Arial" w:hAnsi="Arial" w:cs="Arial"/>
          <w:i/>
          <w:iCs/>
          <w:sz w:val="22"/>
          <w:szCs w:val="22"/>
        </w:rPr>
        <w:t>is appropriate for more serious cases and may be appropriate when all o</w:t>
      </w:r>
      <w:r w:rsidR="00580FDE">
        <w:rPr>
          <w:rFonts w:ascii="Arial" w:hAnsi="Arial" w:cs="Arial"/>
          <w:i/>
          <w:iCs/>
          <w:sz w:val="22"/>
          <w:szCs w:val="22"/>
        </w:rPr>
        <w:t>r</w:t>
      </w:r>
      <w:r>
        <w:rPr>
          <w:rFonts w:ascii="Arial" w:hAnsi="Arial" w:cs="Arial"/>
          <w:i/>
          <w:iCs/>
          <w:sz w:val="22"/>
          <w:szCs w:val="22"/>
        </w:rPr>
        <w:t xml:space="preserve"> some of the following factors are present (this list is not exhaustive):</w:t>
      </w:r>
    </w:p>
    <w:p w14:paraId="169E6BD7" w14:textId="271CE01A" w:rsidR="00464DE4" w:rsidRDefault="00AB2D56" w:rsidP="00464DE4">
      <w:pPr>
        <w:pStyle w:val="ListParagraph"/>
        <w:numPr>
          <w:ilvl w:val="0"/>
          <w:numId w:val="12"/>
        </w:numPr>
        <w:rPr>
          <w:rFonts w:ascii="Arial" w:hAnsi="Arial" w:cs="Arial"/>
          <w:i/>
          <w:iCs/>
          <w:color w:val="000000" w:themeColor="text1"/>
          <w:sz w:val="22"/>
          <w:szCs w:val="22"/>
        </w:rPr>
      </w:pPr>
      <w:r>
        <w:rPr>
          <w:rFonts w:ascii="Arial" w:hAnsi="Arial" w:cs="Arial"/>
          <w:i/>
          <w:iCs/>
          <w:color w:val="000000" w:themeColor="text1"/>
          <w:sz w:val="22"/>
          <w:szCs w:val="22"/>
        </w:rPr>
        <w:t>…</w:t>
      </w:r>
    </w:p>
    <w:p w14:paraId="19CE0909" w14:textId="7AC365A9" w:rsidR="00AB2D56" w:rsidRDefault="00AB2D56" w:rsidP="00464DE4">
      <w:pPr>
        <w:pStyle w:val="ListParagraph"/>
        <w:numPr>
          <w:ilvl w:val="0"/>
          <w:numId w:val="12"/>
        </w:numPr>
        <w:rPr>
          <w:rFonts w:ascii="Arial" w:hAnsi="Arial" w:cs="Arial"/>
          <w:i/>
          <w:iCs/>
          <w:color w:val="000000" w:themeColor="text1"/>
          <w:sz w:val="22"/>
          <w:szCs w:val="22"/>
        </w:rPr>
      </w:pPr>
      <w:r>
        <w:rPr>
          <w:rFonts w:ascii="Arial" w:hAnsi="Arial" w:cs="Arial"/>
          <w:i/>
          <w:iCs/>
          <w:color w:val="000000" w:themeColor="text1"/>
          <w:sz w:val="22"/>
          <w:szCs w:val="22"/>
        </w:rPr>
        <w:t>The registrant has not shown insight and/or poses a significant risk of repeating the behaviour;</w:t>
      </w:r>
    </w:p>
    <w:p w14:paraId="714102A1" w14:textId="77777777" w:rsidR="00AB2D56" w:rsidRDefault="00AB2D56" w:rsidP="00464DE4">
      <w:pPr>
        <w:pStyle w:val="ListParagraph"/>
        <w:numPr>
          <w:ilvl w:val="0"/>
          <w:numId w:val="12"/>
        </w:numPr>
        <w:rPr>
          <w:rFonts w:ascii="Arial" w:hAnsi="Arial" w:cs="Arial"/>
          <w:i/>
          <w:iCs/>
          <w:color w:val="000000" w:themeColor="text1"/>
          <w:sz w:val="22"/>
          <w:szCs w:val="22"/>
        </w:rPr>
      </w:pPr>
      <w:r>
        <w:rPr>
          <w:rFonts w:ascii="Arial" w:hAnsi="Arial" w:cs="Arial"/>
          <w:i/>
          <w:iCs/>
          <w:color w:val="000000" w:themeColor="text1"/>
          <w:sz w:val="22"/>
          <w:szCs w:val="22"/>
        </w:rPr>
        <w:lastRenderedPageBreak/>
        <w:t>…</w:t>
      </w:r>
    </w:p>
    <w:p w14:paraId="53D0A73B" w14:textId="7EAA95C8" w:rsidR="00AB2D56" w:rsidRDefault="00AB2D56" w:rsidP="00464DE4">
      <w:pPr>
        <w:pStyle w:val="ListParagraph"/>
        <w:numPr>
          <w:ilvl w:val="0"/>
          <w:numId w:val="12"/>
        </w:numPr>
        <w:rPr>
          <w:rFonts w:ascii="Arial" w:hAnsi="Arial" w:cs="Arial"/>
          <w:i/>
          <w:iCs/>
          <w:color w:val="000000" w:themeColor="text1"/>
          <w:sz w:val="22"/>
          <w:szCs w:val="22"/>
        </w:rPr>
      </w:pPr>
      <w:r>
        <w:rPr>
          <w:rFonts w:ascii="Arial" w:hAnsi="Arial" w:cs="Arial"/>
          <w:i/>
          <w:iCs/>
          <w:color w:val="000000" w:themeColor="text1"/>
          <w:sz w:val="22"/>
          <w:szCs w:val="22"/>
        </w:rPr>
        <w:t>Public confidence in the profession would be insufficiently protected by a lesser sanction;</w:t>
      </w:r>
    </w:p>
    <w:p w14:paraId="0AF89CF8" w14:textId="79DF2F6D" w:rsidR="00AB2D56" w:rsidRPr="00464DE4" w:rsidRDefault="00AB2D56" w:rsidP="00464DE4">
      <w:pPr>
        <w:pStyle w:val="ListParagraph"/>
        <w:numPr>
          <w:ilvl w:val="0"/>
          <w:numId w:val="12"/>
        </w:numPr>
        <w:rPr>
          <w:rFonts w:ascii="Arial" w:hAnsi="Arial" w:cs="Arial"/>
          <w:i/>
          <w:iCs/>
          <w:color w:val="000000" w:themeColor="text1"/>
          <w:sz w:val="22"/>
          <w:szCs w:val="22"/>
        </w:rPr>
      </w:pPr>
      <w:r>
        <w:rPr>
          <w:rFonts w:ascii="Arial" w:hAnsi="Arial" w:cs="Arial"/>
          <w:i/>
          <w:iCs/>
          <w:color w:val="000000" w:themeColor="text1"/>
          <w:sz w:val="22"/>
          <w:szCs w:val="22"/>
        </w:rPr>
        <w:t>There is no evidence of harmful deep-seated personality or professional attitudinal problems (which might make erasure the appropriate order)”.</w:t>
      </w:r>
    </w:p>
    <w:p w14:paraId="1B57D030" w14:textId="12DA79DD" w:rsidR="00E60149" w:rsidRDefault="00E60149" w:rsidP="00DB10A6">
      <w:pPr>
        <w:pStyle w:val="ListParagraph"/>
        <w:rPr>
          <w:rFonts w:ascii="ArialMT" w:hAnsi="ArialMT"/>
          <w:sz w:val="22"/>
          <w:szCs w:val="22"/>
        </w:rPr>
      </w:pPr>
    </w:p>
    <w:p w14:paraId="0900558A" w14:textId="02A88B85" w:rsidR="00527062" w:rsidRPr="00101D97" w:rsidRDefault="00AB2D56" w:rsidP="00101D97">
      <w:pPr>
        <w:ind w:left="1134"/>
        <w:rPr>
          <w:rFonts w:ascii="Arial" w:hAnsi="Arial" w:cs="Arial"/>
          <w:sz w:val="22"/>
          <w:szCs w:val="22"/>
        </w:rPr>
      </w:pPr>
      <w:r>
        <w:rPr>
          <w:rFonts w:ascii="Arial" w:hAnsi="Arial" w:cs="Arial"/>
          <w:sz w:val="22"/>
          <w:szCs w:val="22"/>
        </w:rPr>
        <w:t>Erasure is a possible</w:t>
      </w:r>
      <w:r w:rsidR="0020264F">
        <w:rPr>
          <w:rFonts w:ascii="Arial" w:hAnsi="Arial" w:cs="Arial"/>
          <w:sz w:val="22"/>
          <w:szCs w:val="22"/>
        </w:rPr>
        <w:t xml:space="preserve"> (and indeed likely)</w:t>
      </w:r>
      <w:r>
        <w:rPr>
          <w:rFonts w:ascii="Arial" w:hAnsi="Arial" w:cs="Arial"/>
          <w:sz w:val="22"/>
          <w:szCs w:val="22"/>
        </w:rPr>
        <w:t xml:space="preserve"> sanction when there is “</w:t>
      </w:r>
      <w:r>
        <w:rPr>
          <w:rFonts w:ascii="Arial" w:hAnsi="Arial" w:cs="Arial"/>
          <w:i/>
          <w:iCs/>
          <w:sz w:val="22"/>
          <w:szCs w:val="22"/>
        </w:rPr>
        <w:t>serious dishonesty, particularly where persistent or covered up”</w:t>
      </w:r>
      <w:r w:rsidR="0076688E">
        <w:rPr>
          <w:rFonts w:ascii="Arial" w:hAnsi="Arial" w:cs="Arial"/>
          <w:i/>
          <w:iCs/>
          <w:sz w:val="22"/>
          <w:szCs w:val="22"/>
        </w:rPr>
        <w:t xml:space="preserve"> </w:t>
      </w:r>
      <w:r w:rsidR="0076688E">
        <w:rPr>
          <w:rFonts w:ascii="Arial" w:hAnsi="Arial" w:cs="Arial"/>
          <w:sz w:val="22"/>
          <w:szCs w:val="22"/>
        </w:rPr>
        <w:t>and where conduct is fundamentally incompatible with a registrant remaining on the Register in all the circumstances of that case.</w:t>
      </w:r>
    </w:p>
    <w:p w14:paraId="3A0FBE32" w14:textId="3C0A0458" w:rsidR="00527062" w:rsidRPr="00527062" w:rsidRDefault="00CA1786" w:rsidP="00527062">
      <w:pPr>
        <w:pStyle w:val="ListParagraph"/>
        <w:rPr>
          <w:rFonts w:ascii="Arial" w:hAnsi="Arial" w:cs="Arial"/>
          <w:sz w:val="22"/>
          <w:szCs w:val="22"/>
        </w:rPr>
      </w:pPr>
      <w:r>
        <w:rPr>
          <w:rFonts w:ascii="Arial" w:hAnsi="Arial" w:cs="Arial"/>
          <w:sz w:val="22"/>
          <w:szCs w:val="22"/>
        </w:rPr>
        <w:t xml:space="preserve">       </w:t>
      </w:r>
    </w:p>
    <w:p w14:paraId="480D870B" w14:textId="309E1B6A" w:rsidR="00DB596B" w:rsidRPr="0020264F" w:rsidRDefault="0020264F" w:rsidP="00CA1786">
      <w:pPr>
        <w:pStyle w:val="ListParagraph"/>
        <w:numPr>
          <w:ilvl w:val="0"/>
          <w:numId w:val="1"/>
        </w:numPr>
        <w:rPr>
          <w:rFonts w:ascii="Arial" w:hAnsi="Arial" w:cs="Arial"/>
          <w:sz w:val="22"/>
          <w:szCs w:val="22"/>
          <w:u w:val="single"/>
        </w:rPr>
      </w:pPr>
      <w:r w:rsidRPr="0020264F">
        <w:rPr>
          <w:rFonts w:ascii="Arial" w:hAnsi="Arial" w:cs="Arial"/>
          <w:sz w:val="22"/>
          <w:szCs w:val="22"/>
          <w:u w:val="single"/>
        </w:rPr>
        <w:t>D</w:t>
      </w:r>
      <w:r w:rsidR="00006291" w:rsidRPr="0020264F">
        <w:rPr>
          <w:rFonts w:ascii="Arial" w:hAnsi="Arial" w:cs="Arial"/>
          <w:sz w:val="22"/>
          <w:szCs w:val="22"/>
          <w:u w:val="single"/>
        </w:rPr>
        <w:t xml:space="preserve">ental </w:t>
      </w:r>
      <w:r w:rsidRPr="0020264F">
        <w:rPr>
          <w:rFonts w:ascii="Arial" w:hAnsi="Arial" w:cs="Arial"/>
          <w:sz w:val="22"/>
          <w:szCs w:val="22"/>
          <w:u w:val="single"/>
        </w:rPr>
        <w:t>T</w:t>
      </w:r>
      <w:r w:rsidR="00006291" w:rsidRPr="0020264F">
        <w:rPr>
          <w:rFonts w:ascii="Arial" w:hAnsi="Arial" w:cs="Arial"/>
          <w:sz w:val="22"/>
          <w:szCs w:val="22"/>
          <w:u w:val="single"/>
        </w:rPr>
        <w:t>echnicians are only infrequently represented by counsel</w:t>
      </w:r>
      <w:r w:rsidRPr="0020264F">
        <w:rPr>
          <w:rFonts w:ascii="Arial" w:hAnsi="Arial" w:cs="Arial"/>
          <w:sz w:val="22"/>
          <w:szCs w:val="22"/>
          <w:u w:val="single"/>
        </w:rPr>
        <w:t>:</w:t>
      </w:r>
    </w:p>
    <w:p w14:paraId="66FE2E90" w14:textId="365E9A05" w:rsidR="00006291" w:rsidRDefault="00006291" w:rsidP="00006291">
      <w:pPr>
        <w:pStyle w:val="ListParagraph"/>
        <w:rPr>
          <w:rFonts w:ascii="Arial" w:hAnsi="Arial" w:cs="Arial"/>
          <w:sz w:val="22"/>
          <w:szCs w:val="22"/>
        </w:rPr>
      </w:pPr>
    </w:p>
    <w:p w14:paraId="5E13C840" w14:textId="5EA5DB2E" w:rsidR="00006291" w:rsidRDefault="00006291" w:rsidP="00006291">
      <w:pPr>
        <w:spacing w:after="420"/>
        <w:ind w:left="709"/>
        <w:rPr>
          <w:rFonts w:ascii="Arial" w:eastAsia="Times New Roman" w:hAnsi="Arial" w:cs="Arial"/>
          <w:color w:val="1A1A1A"/>
          <w:sz w:val="22"/>
          <w:szCs w:val="22"/>
          <w:lang w:eastAsia="en-GB"/>
        </w:rPr>
      </w:pPr>
      <w:r w:rsidRPr="007C42FC">
        <w:rPr>
          <w:rFonts w:ascii="Arial" w:eastAsia="Times New Roman" w:hAnsi="Arial" w:cs="Arial"/>
          <w:color w:val="1A1A1A"/>
          <w:sz w:val="22"/>
          <w:szCs w:val="22"/>
          <w:lang w:eastAsia="en-GB"/>
        </w:rPr>
        <w:t>It has relatively recently been reported</w:t>
      </w:r>
      <w:r>
        <w:rPr>
          <w:rStyle w:val="FootnoteReference"/>
          <w:rFonts w:ascii="Arial" w:eastAsia="Times New Roman" w:hAnsi="Arial" w:cs="Arial"/>
          <w:color w:val="1A1A1A"/>
          <w:sz w:val="22"/>
          <w:szCs w:val="22"/>
          <w:lang w:eastAsia="en-GB"/>
        </w:rPr>
        <w:footnoteReference w:id="10"/>
      </w:r>
      <w:r w:rsidRPr="007C42FC">
        <w:rPr>
          <w:rFonts w:ascii="Arial" w:eastAsia="Times New Roman" w:hAnsi="Arial" w:cs="Arial"/>
          <w:color w:val="1A1A1A"/>
          <w:sz w:val="22"/>
          <w:szCs w:val="22"/>
          <w:lang w:eastAsia="en-GB"/>
        </w:rPr>
        <w:t xml:space="preserve"> that a Freedom of Information request by Dental Protection to the G</w:t>
      </w:r>
      <w:r>
        <w:rPr>
          <w:rFonts w:ascii="Arial" w:eastAsia="Times New Roman" w:hAnsi="Arial" w:cs="Arial"/>
          <w:color w:val="1A1A1A"/>
          <w:sz w:val="22"/>
          <w:szCs w:val="22"/>
          <w:lang w:eastAsia="en-GB"/>
        </w:rPr>
        <w:t>DC</w:t>
      </w:r>
      <w:r w:rsidRPr="007C42FC">
        <w:rPr>
          <w:rFonts w:ascii="Arial" w:eastAsia="Times New Roman" w:hAnsi="Arial" w:cs="Arial"/>
          <w:color w:val="1A1A1A"/>
          <w:sz w:val="22"/>
          <w:szCs w:val="22"/>
          <w:lang w:eastAsia="en-GB"/>
        </w:rPr>
        <w:t xml:space="preserve"> illustrated an apparent significant discrepancy between the level of sanctions applied to </w:t>
      </w:r>
      <w:r>
        <w:rPr>
          <w:rFonts w:ascii="Arial" w:eastAsia="Times New Roman" w:hAnsi="Arial" w:cs="Arial"/>
          <w:color w:val="1A1A1A"/>
          <w:sz w:val="22"/>
          <w:szCs w:val="22"/>
          <w:lang w:eastAsia="en-GB"/>
        </w:rPr>
        <w:t>dentists</w:t>
      </w:r>
      <w:r w:rsidRPr="007C42FC">
        <w:rPr>
          <w:rFonts w:ascii="Arial" w:eastAsia="Times New Roman" w:hAnsi="Arial" w:cs="Arial"/>
          <w:color w:val="1A1A1A"/>
          <w:sz w:val="22"/>
          <w:szCs w:val="22"/>
          <w:lang w:eastAsia="en-GB"/>
        </w:rPr>
        <w:t xml:space="preserve"> who are legally represented and those who are not.  The general suggestion seems to be that substantially more dental professionals whose fitness to practise is found not to be impaired are legally represented than not.  In addition, it seems that many more dentists erased from the register (and therefore unable to continue to practice</w:t>
      </w:r>
      <w:r w:rsidR="0020264F">
        <w:rPr>
          <w:rFonts w:ascii="Arial" w:eastAsia="Times New Roman" w:hAnsi="Arial" w:cs="Arial"/>
          <w:color w:val="1A1A1A"/>
          <w:sz w:val="22"/>
          <w:szCs w:val="22"/>
          <w:lang w:eastAsia="en-GB"/>
        </w:rPr>
        <w:t xml:space="preserve"> for a minimum of five years and even then only if they achieve restoration</w:t>
      </w:r>
      <w:r w:rsidRPr="007C42FC">
        <w:rPr>
          <w:rFonts w:ascii="Arial" w:eastAsia="Times New Roman" w:hAnsi="Arial" w:cs="Arial"/>
          <w:color w:val="1A1A1A"/>
          <w:sz w:val="22"/>
          <w:szCs w:val="22"/>
          <w:lang w:eastAsia="en-GB"/>
        </w:rPr>
        <w:t>) following a hearing are unrepresented.</w:t>
      </w:r>
    </w:p>
    <w:p w14:paraId="71F358E4" w14:textId="31E812F8" w:rsidR="00006291" w:rsidRDefault="00006291" w:rsidP="00006291">
      <w:pPr>
        <w:ind w:left="709"/>
        <w:rPr>
          <w:rFonts w:ascii="Arial" w:eastAsia="Times New Roman" w:hAnsi="Arial" w:cs="Arial"/>
          <w:color w:val="1A1A1A"/>
          <w:sz w:val="22"/>
          <w:szCs w:val="22"/>
          <w:shd w:val="clear" w:color="auto" w:fill="FFFFFF"/>
          <w:lang w:eastAsia="en-GB"/>
        </w:rPr>
      </w:pPr>
      <w:r>
        <w:rPr>
          <w:rFonts w:ascii="Arial" w:eastAsia="Times New Roman" w:hAnsi="Arial" w:cs="Arial"/>
          <w:color w:val="1A1A1A"/>
          <w:sz w:val="22"/>
          <w:szCs w:val="22"/>
          <w:shd w:val="clear" w:color="auto" w:fill="FFFFFF"/>
          <w:lang w:eastAsia="en-GB"/>
        </w:rPr>
        <w:t>The</w:t>
      </w:r>
      <w:r w:rsidRPr="007C42FC">
        <w:rPr>
          <w:rFonts w:ascii="Arial" w:eastAsia="Times New Roman" w:hAnsi="Arial" w:cs="Arial"/>
          <w:color w:val="1A1A1A"/>
          <w:sz w:val="22"/>
          <w:szCs w:val="22"/>
          <w:shd w:val="clear" w:color="auto" w:fill="FFFFFF"/>
          <w:lang w:eastAsia="en-GB"/>
        </w:rPr>
        <w:t xml:space="preserve"> </w:t>
      </w:r>
      <w:r w:rsidR="00CA1786">
        <w:rPr>
          <w:rFonts w:ascii="Arial" w:eastAsia="Times New Roman" w:hAnsi="Arial" w:cs="Arial"/>
          <w:color w:val="1A1A1A"/>
          <w:sz w:val="22"/>
          <w:szCs w:val="22"/>
          <w:shd w:val="clear" w:color="auto" w:fill="FFFFFF"/>
          <w:lang w:eastAsia="en-GB"/>
        </w:rPr>
        <w:t>issue</w:t>
      </w:r>
      <w:r w:rsidRPr="007C42FC">
        <w:rPr>
          <w:rFonts w:ascii="Arial" w:eastAsia="Times New Roman" w:hAnsi="Arial" w:cs="Arial"/>
          <w:color w:val="1A1A1A"/>
          <w:sz w:val="22"/>
          <w:szCs w:val="22"/>
          <w:shd w:val="clear" w:color="auto" w:fill="FFFFFF"/>
          <w:lang w:eastAsia="en-GB"/>
        </w:rPr>
        <w:t xml:space="preserve"> </w:t>
      </w:r>
      <w:r w:rsidR="0076688E">
        <w:rPr>
          <w:rFonts w:ascii="Arial" w:eastAsia="Times New Roman" w:hAnsi="Arial" w:cs="Arial"/>
          <w:color w:val="1A1A1A"/>
          <w:sz w:val="22"/>
          <w:szCs w:val="22"/>
          <w:shd w:val="clear" w:color="auto" w:fill="FFFFFF"/>
          <w:lang w:eastAsia="en-GB"/>
        </w:rPr>
        <w:t>is not</w:t>
      </w:r>
      <w:r>
        <w:rPr>
          <w:rFonts w:ascii="Arial" w:eastAsia="Times New Roman" w:hAnsi="Arial" w:cs="Arial"/>
          <w:color w:val="1A1A1A"/>
          <w:sz w:val="22"/>
          <w:szCs w:val="22"/>
          <w:shd w:val="clear" w:color="auto" w:fill="FFFFFF"/>
          <w:lang w:eastAsia="en-GB"/>
        </w:rPr>
        <w:t xml:space="preserve"> </w:t>
      </w:r>
      <w:r w:rsidRPr="007C42FC">
        <w:rPr>
          <w:rFonts w:ascii="Arial" w:eastAsia="Times New Roman" w:hAnsi="Arial" w:cs="Arial"/>
          <w:color w:val="1A1A1A"/>
          <w:sz w:val="22"/>
          <w:szCs w:val="22"/>
          <w:shd w:val="clear" w:color="auto" w:fill="FFFFFF"/>
          <w:lang w:eastAsia="en-GB"/>
        </w:rPr>
        <w:t>restricted to dentists</w:t>
      </w:r>
      <w:r w:rsidR="0076688E">
        <w:rPr>
          <w:rFonts w:ascii="Arial" w:eastAsia="Times New Roman" w:hAnsi="Arial" w:cs="Arial"/>
          <w:color w:val="1A1A1A"/>
          <w:sz w:val="22"/>
          <w:szCs w:val="22"/>
          <w:shd w:val="clear" w:color="auto" w:fill="FFFFFF"/>
          <w:lang w:eastAsia="en-GB"/>
        </w:rPr>
        <w:t xml:space="preserve"> and dental care professionals</w:t>
      </w:r>
      <w:r>
        <w:rPr>
          <w:rFonts w:ascii="Arial" w:eastAsia="Times New Roman" w:hAnsi="Arial" w:cs="Arial"/>
          <w:color w:val="1A1A1A"/>
          <w:sz w:val="22"/>
          <w:szCs w:val="22"/>
          <w:shd w:val="clear" w:color="auto" w:fill="FFFFFF"/>
          <w:lang w:eastAsia="en-GB"/>
        </w:rPr>
        <w:t>.</w:t>
      </w:r>
      <w:r w:rsidR="0076688E">
        <w:rPr>
          <w:rFonts w:ascii="Arial" w:eastAsia="Times New Roman" w:hAnsi="Arial" w:cs="Arial"/>
          <w:color w:val="1A1A1A"/>
          <w:sz w:val="22"/>
          <w:szCs w:val="22"/>
          <w:shd w:val="clear" w:color="auto" w:fill="FFFFFF"/>
          <w:lang w:eastAsia="en-GB"/>
        </w:rPr>
        <w:t xml:space="preserve">  A similar Freedom of Information request by Medical Protection to the General Medical Council confirmed a similar effect of professional legal representation at Medical Practitioners Tribunal Service hearings and Interim Order Tribunals</w:t>
      </w:r>
      <w:r w:rsidR="001F737D">
        <w:rPr>
          <w:rStyle w:val="FootnoteReference"/>
          <w:rFonts w:ascii="Arial" w:eastAsia="Times New Roman" w:hAnsi="Arial" w:cs="Arial"/>
          <w:color w:val="1A1A1A"/>
          <w:sz w:val="22"/>
          <w:szCs w:val="22"/>
          <w:shd w:val="clear" w:color="auto" w:fill="FFFFFF"/>
          <w:lang w:eastAsia="en-GB"/>
        </w:rPr>
        <w:footnoteReference w:id="11"/>
      </w:r>
      <w:r w:rsidR="001F737D">
        <w:rPr>
          <w:rFonts w:ascii="Arial" w:eastAsia="Times New Roman" w:hAnsi="Arial" w:cs="Arial"/>
          <w:color w:val="1A1A1A"/>
          <w:sz w:val="22"/>
          <w:szCs w:val="22"/>
          <w:shd w:val="clear" w:color="auto" w:fill="FFFFFF"/>
          <w:lang w:eastAsia="en-GB"/>
        </w:rPr>
        <w:t>.</w:t>
      </w:r>
      <w:r w:rsidR="0076688E">
        <w:rPr>
          <w:rFonts w:ascii="Arial" w:eastAsia="Times New Roman" w:hAnsi="Arial" w:cs="Arial"/>
          <w:color w:val="1A1A1A"/>
          <w:sz w:val="22"/>
          <w:szCs w:val="22"/>
          <w:shd w:val="clear" w:color="auto" w:fill="FFFFFF"/>
          <w:lang w:eastAsia="en-GB"/>
        </w:rPr>
        <w:t xml:space="preserve">  </w:t>
      </w:r>
      <w:r>
        <w:rPr>
          <w:rFonts w:ascii="Arial" w:eastAsia="Times New Roman" w:hAnsi="Arial" w:cs="Arial"/>
          <w:color w:val="1A1A1A"/>
          <w:sz w:val="22"/>
          <w:szCs w:val="22"/>
          <w:shd w:val="clear" w:color="auto" w:fill="FFFFFF"/>
          <w:lang w:eastAsia="en-GB"/>
        </w:rPr>
        <w:t>Whilst</w:t>
      </w:r>
      <w:r w:rsidRPr="007C42FC">
        <w:rPr>
          <w:rFonts w:ascii="Arial" w:eastAsia="Times New Roman" w:hAnsi="Arial" w:cs="Arial"/>
          <w:color w:val="1A1A1A"/>
          <w:sz w:val="22"/>
          <w:szCs w:val="22"/>
          <w:shd w:val="clear" w:color="auto" w:fill="FFFFFF"/>
          <w:lang w:eastAsia="en-GB"/>
        </w:rPr>
        <w:t xml:space="preserve"> </w:t>
      </w:r>
      <w:r>
        <w:rPr>
          <w:rFonts w:ascii="Arial" w:eastAsia="Times New Roman" w:hAnsi="Arial" w:cs="Arial"/>
          <w:color w:val="1A1A1A"/>
          <w:sz w:val="22"/>
          <w:szCs w:val="22"/>
          <w:shd w:val="clear" w:color="auto" w:fill="FFFFFF"/>
          <w:lang w:eastAsia="en-GB"/>
        </w:rPr>
        <w:t>hearings involving registered D</w:t>
      </w:r>
      <w:r w:rsidRPr="007C42FC">
        <w:rPr>
          <w:rFonts w:ascii="Arial" w:eastAsia="Times New Roman" w:hAnsi="Arial" w:cs="Arial"/>
          <w:color w:val="1A1A1A"/>
          <w:sz w:val="22"/>
          <w:szCs w:val="22"/>
          <w:shd w:val="clear" w:color="auto" w:fill="FFFFFF"/>
          <w:lang w:eastAsia="en-GB"/>
        </w:rPr>
        <w:t xml:space="preserve">ental </w:t>
      </w:r>
      <w:r>
        <w:rPr>
          <w:rFonts w:ascii="Arial" w:eastAsia="Times New Roman" w:hAnsi="Arial" w:cs="Arial"/>
          <w:color w:val="1A1A1A"/>
          <w:sz w:val="22"/>
          <w:szCs w:val="22"/>
          <w:shd w:val="clear" w:color="auto" w:fill="FFFFFF"/>
          <w:lang w:eastAsia="en-GB"/>
        </w:rPr>
        <w:t>T</w:t>
      </w:r>
      <w:r w:rsidRPr="007C42FC">
        <w:rPr>
          <w:rFonts w:ascii="Arial" w:eastAsia="Times New Roman" w:hAnsi="Arial" w:cs="Arial"/>
          <w:color w:val="1A1A1A"/>
          <w:sz w:val="22"/>
          <w:szCs w:val="22"/>
          <w:shd w:val="clear" w:color="auto" w:fill="FFFFFF"/>
          <w:lang w:eastAsia="en-GB"/>
        </w:rPr>
        <w:t xml:space="preserve">echnicians do not make up a very great proportion of </w:t>
      </w:r>
      <w:r>
        <w:rPr>
          <w:rFonts w:ascii="Arial" w:eastAsia="Times New Roman" w:hAnsi="Arial" w:cs="Arial"/>
          <w:color w:val="1A1A1A"/>
          <w:sz w:val="22"/>
          <w:szCs w:val="22"/>
          <w:shd w:val="clear" w:color="auto" w:fill="FFFFFF"/>
          <w:lang w:eastAsia="en-GB"/>
        </w:rPr>
        <w:t>reported hearings,</w:t>
      </w:r>
      <w:r w:rsidRPr="007C42FC">
        <w:rPr>
          <w:rFonts w:ascii="Arial" w:eastAsia="Times New Roman" w:hAnsi="Arial" w:cs="Arial"/>
          <w:color w:val="1A1A1A"/>
          <w:sz w:val="22"/>
          <w:szCs w:val="22"/>
          <w:shd w:val="clear" w:color="auto" w:fill="FFFFFF"/>
          <w:lang w:eastAsia="en-GB"/>
        </w:rPr>
        <w:t xml:space="preserve"> </w:t>
      </w:r>
      <w:r>
        <w:rPr>
          <w:rFonts w:ascii="Arial" w:eastAsia="Times New Roman" w:hAnsi="Arial" w:cs="Arial"/>
          <w:color w:val="1A1A1A"/>
          <w:sz w:val="22"/>
          <w:szCs w:val="22"/>
          <w:shd w:val="clear" w:color="auto" w:fill="FFFFFF"/>
          <w:lang w:eastAsia="en-GB"/>
        </w:rPr>
        <w:t xml:space="preserve">based on the cases reviewed in this small study, it appears that suspension of the registration of a Dental Technician is an extremely likely outcome, particularly if the registrant does not attend at a hearing or review hearing.  </w:t>
      </w:r>
      <w:r w:rsidR="00CA1786">
        <w:rPr>
          <w:rFonts w:ascii="Arial" w:eastAsia="Times New Roman" w:hAnsi="Arial" w:cs="Arial"/>
          <w:color w:val="1A1A1A"/>
          <w:sz w:val="22"/>
          <w:szCs w:val="22"/>
          <w:shd w:val="clear" w:color="auto" w:fill="FFFFFF"/>
          <w:lang w:eastAsia="en-GB"/>
        </w:rPr>
        <w:t xml:space="preserve">It </w:t>
      </w:r>
      <w:r w:rsidR="00EE1FC0">
        <w:rPr>
          <w:rFonts w:ascii="Arial" w:eastAsia="Times New Roman" w:hAnsi="Arial" w:cs="Arial"/>
          <w:color w:val="1A1A1A"/>
          <w:sz w:val="22"/>
          <w:szCs w:val="22"/>
          <w:shd w:val="clear" w:color="auto" w:fill="FFFFFF"/>
          <w:lang w:eastAsia="en-GB"/>
        </w:rPr>
        <w:t xml:space="preserve">seems </w:t>
      </w:r>
      <w:r w:rsidR="00CA1786">
        <w:rPr>
          <w:rFonts w:ascii="Arial" w:eastAsia="Times New Roman" w:hAnsi="Arial" w:cs="Arial"/>
          <w:color w:val="1A1A1A"/>
          <w:sz w:val="22"/>
          <w:szCs w:val="22"/>
          <w:shd w:val="clear" w:color="auto" w:fill="FFFFFF"/>
          <w:lang w:eastAsia="en-GB"/>
        </w:rPr>
        <w:t xml:space="preserve">possible that effective representation at a hearing </w:t>
      </w:r>
      <w:r w:rsidR="0090358B">
        <w:rPr>
          <w:rFonts w:ascii="Arial" w:eastAsia="Times New Roman" w:hAnsi="Arial" w:cs="Arial"/>
          <w:color w:val="1A1A1A"/>
          <w:sz w:val="22"/>
          <w:szCs w:val="22"/>
          <w:shd w:val="clear" w:color="auto" w:fill="FFFFFF"/>
          <w:lang w:eastAsia="en-GB"/>
        </w:rPr>
        <w:t>might</w:t>
      </w:r>
      <w:r w:rsidR="00CA1786">
        <w:rPr>
          <w:rFonts w:ascii="Arial" w:eastAsia="Times New Roman" w:hAnsi="Arial" w:cs="Arial"/>
          <w:color w:val="1A1A1A"/>
          <w:sz w:val="22"/>
          <w:szCs w:val="22"/>
          <w:shd w:val="clear" w:color="auto" w:fill="FFFFFF"/>
          <w:lang w:eastAsia="en-GB"/>
        </w:rPr>
        <w:t xml:space="preserve"> </w:t>
      </w:r>
      <w:r w:rsidR="00643061">
        <w:rPr>
          <w:rFonts w:ascii="Arial" w:eastAsia="Times New Roman" w:hAnsi="Arial" w:cs="Arial"/>
          <w:color w:val="1A1A1A"/>
          <w:sz w:val="22"/>
          <w:szCs w:val="22"/>
          <w:shd w:val="clear" w:color="auto" w:fill="FFFFFF"/>
          <w:lang w:eastAsia="en-GB"/>
        </w:rPr>
        <w:t>limit</w:t>
      </w:r>
      <w:r w:rsidR="00CA1786">
        <w:rPr>
          <w:rFonts w:ascii="Arial" w:eastAsia="Times New Roman" w:hAnsi="Arial" w:cs="Arial"/>
          <w:color w:val="1A1A1A"/>
          <w:sz w:val="22"/>
          <w:szCs w:val="22"/>
          <w:shd w:val="clear" w:color="auto" w:fill="FFFFFF"/>
          <w:lang w:eastAsia="en-GB"/>
        </w:rPr>
        <w:t xml:space="preserve"> the length of any suspension</w:t>
      </w:r>
      <w:r w:rsidR="0090358B">
        <w:rPr>
          <w:rFonts w:ascii="Arial" w:eastAsia="Times New Roman" w:hAnsi="Arial" w:cs="Arial"/>
          <w:color w:val="1A1A1A"/>
          <w:sz w:val="22"/>
          <w:szCs w:val="22"/>
          <w:shd w:val="clear" w:color="auto" w:fill="FFFFFF"/>
          <w:lang w:eastAsia="en-GB"/>
        </w:rPr>
        <w:t xml:space="preserve"> imposed,</w:t>
      </w:r>
      <w:r w:rsidR="00CA1786">
        <w:rPr>
          <w:rFonts w:ascii="Arial" w:eastAsia="Times New Roman" w:hAnsi="Arial" w:cs="Arial"/>
          <w:color w:val="1A1A1A"/>
          <w:sz w:val="22"/>
          <w:szCs w:val="22"/>
          <w:shd w:val="clear" w:color="auto" w:fill="FFFFFF"/>
          <w:lang w:eastAsia="en-GB"/>
        </w:rPr>
        <w:t xml:space="preserve"> and also that effective presentation in relation to evidence of insight, remorse and remediation could have a</w:t>
      </w:r>
      <w:r w:rsidR="00643061">
        <w:rPr>
          <w:rFonts w:ascii="Arial" w:eastAsia="Times New Roman" w:hAnsi="Arial" w:cs="Arial"/>
          <w:color w:val="1A1A1A"/>
          <w:sz w:val="22"/>
          <w:szCs w:val="22"/>
          <w:shd w:val="clear" w:color="auto" w:fill="FFFFFF"/>
          <w:lang w:eastAsia="en-GB"/>
        </w:rPr>
        <w:t xml:space="preserve"> positive</w:t>
      </w:r>
      <w:r w:rsidR="00CA1786">
        <w:rPr>
          <w:rFonts w:ascii="Arial" w:eastAsia="Times New Roman" w:hAnsi="Arial" w:cs="Arial"/>
          <w:color w:val="1A1A1A"/>
          <w:sz w:val="22"/>
          <w:szCs w:val="22"/>
          <w:shd w:val="clear" w:color="auto" w:fill="FFFFFF"/>
          <w:lang w:eastAsia="en-GB"/>
        </w:rPr>
        <w:t xml:space="preserve"> effect.  In one of the </w:t>
      </w:r>
      <w:r w:rsidR="00EE1FC0">
        <w:rPr>
          <w:rFonts w:ascii="Arial" w:eastAsia="Times New Roman" w:hAnsi="Arial" w:cs="Arial"/>
          <w:color w:val="1A1A1A"/>
          <w:sz w:val="22"/>
          <w:szCs w:val="22"/>
          <w:shd w:val="clear" w:color="auto" w:fill="FFFFFF"/>
          <w:lang w:eastAsia="en-GB"/>
        </w:rPr>
        <w:t xml:space="preserve">few </w:t>
      </w:r>
      <w:r w:rsidR="00CA1786">
        <w:rPr>
          <w:rFonts w:ascii="Arial" w:eastAsia="Times New Roman" w:hAnsi="Arial" w:cs="Arial"/>
          <w:color w:val="1A1A1A"/>
          <w:sz w:val="22"/>
          <w:szCs w:val="22"/>
          <w:shd w:val="clear" w:color="auto" w:fill="FFFFFF"/>
          <w:lang w:eastAsia="en-GB"/>
        </w:rPr>
        <w:t>cases reviewed</w:t>
      </w:r>
      <w:r w:rsidR="0010655E">
        <w:rPr>
          <w:rFonts w:ascii="Arial" w:eastAsia="Times New Roman" w:hAnsi="Arial" w:cs="Arial"/>
          <w:color w:val="1A1A1A"/>
          <w:sz w:val="22"/>
          <w:szCs w:val="22"/>
          <w:shd w:val="clear" w:color="auto" w:fill="FFFFFF"/>
          <w:lang w:eastAsia="en-GB"/>
        </w:rPr>
        <w:t xml:space="preserve"> in th</w:t>
      </w:r>
      <w:r w:rsidR="00643061">
        <w:rPr>
          <w:rFonts w:ascii="Arial" w:eastAsia="Times New Roman" w:hAnsi="Arial" w:cs="Arial"/>
          <w:color w:val="1A1A1A"/>
          <w:sz w:val="22"/>
          <w:szCs w:val="22"/>
          <w:shd w:val="clear" w:color="auto" w:fill="FFFFFF"/>
          <w:lang w:eastAsia="en-GB"/>
        </w:rPr>
        <w:t>e current</w:t>
      </w:r>
      <w:r w:rsidR="0010655E">
        <w:rPr>
          <w:rFonts w:ascii="Arial" w:eastAsia="Times New Roman" w:hAnsi="Arial" w:cs="Arial"/>
          <w:color w:val="1A1A1A"/>
          <w:sz w:val="22"/>
          <w:szCs w:val="22"/>
          <w:shd w:val="clear" w:color="auto" w:fill="FFFFFF"/>
          <w:lang w:eastAsia="en-GB"/>
        </w:rPr>
        <w:t xml:space="preserve"> study</w:t>
      </w:r>
      <w:r w:rsidR="00EE1FC0">
        <w:rPr>
          <w:rFonts w:ascii="Arial" w:eastAsia="Times New Roman" w:hAnsi="Arial" w:cs="Arial"/>
          <w:color w:val="1A1A1A"/>
          <w:sz w:val="22"/>
          <w:szCs w:val="22"/>
          <w:shd w:val="clear" w:color="auto" w:fill="FFFFFF"/>
          <w:lang w:eastAsia="en-GB"/>
        </w:rPr>
        <w:t xml:space="preserve"> </w:t>
      </w:r>
      <w:r w:rsidR="0010655E">
        <w:rPr>
          <w:rFonts w:ascii="Arial" w:eastAsia="Times New Roman" w:hAnsi="Arial" w:cs="Arial"/>
          <w:color w:val="1A1A1A"/>
          <w:sz w:val="22"/>
          <w:szCs w:val="22"/>
          <w:shd w:val="clear" w:color="auto" w:fill="FFFFFF"/>
          <w:lang w:eastAsia="en-GB"/>
        </w:rPr>
        <w:t xml:space="preserve">where the registrant was represented by counsel, </w:t>
      </w:r>
      <w:r w:rsidR="00EE1FC0">
        <w:rPr>
          <w:rFonts w:ascii="Arial" w:eastAsia="Times New Roman" w:hAnsi="Arial" w:cs="Arial"/>
          <w:color w:val="1A1A1A"/>
          <w:sz w:val="22"/>
          <w:szCs w:val="22"/>
          <w:shd w:val="clear" w:color="auto" w:fill="FFFFFF"/>
          <w:lang w:eastAsia="en-GB"/>
        </w:rPr>
        <w:t xml:space="preserve">although </w:t>
      </w:r>
      <w:r w:rsidR="00A97520">
        <w:rPr>
          <w:rFonts w:ascii="Arial" w:eastAsia="Times New Roman" w:hAnsi="Arial" w:cs="Arial"/>
          <w:color w:val="1A1A1A"/>
          <w:sz w:val="22"/>
          <w:szCs w:val="22"/>
          <w:shd w:val="clear" w:color="auto" w:fill="FFFFFF"/>
          <w:lang w:eastAsia="en-GB"/>
        </w:rPr>
        <w:t>the GDC submitted that a suspension was an appropriate sanction, the sanction imposed by the Committee following submissions from the registrant’s counsel and its own consideration of the facts was a reprimand (although it is fair to say that dishonesty was not charged or proven in this particular case).</w:t>
      </w:r>
    </w:p>
    <w:p w14:paraId="66477301" w14:textId="77777777" w:rsidR="00006291" w:rsidRPr="000B650D" w:rsidRDefault="00006291" w:rsidP="000B650D">
      <w:pPr>
        <w:rPr>
          <w:rFonts w:ascii="Arial" w:hAnsi="Arial" w:cs="Arial"/>
          <w:sz w:val="22"/>
          <w:szCs w:val="22"/>
        </w:rPr>
      </w:pPr>
    </w:p>
    <w:p w14:paraId="7C1C5BE4" w14:textId="77777777" w:rsidR="00006291" w:rsidRPr="003A09D1" w:rsidRDefault="00006291" w:rsidP="00006291">
      <w:pPr>
        <w:pStyle w:val="ListParagraph"/>
        <w:rPr>
          <w:rFonts w:ascii="Arial" w:hAnsi="Arial" w:cs="Arial"/>
          <w:sz w:val="22"/>
          <w:szCs w:val="22"/>
        </w:rPr>
      </w:pPr>
    </w:p>
    <w:p w14:paraId="0BA64F21" w14:textId="4A4D82B7" w:rsidR="00DB596B" w:rsidRDefault="00DB596B" w:rsidP="00DB596B">
      <w:pPr>
        <w:pStyle w:val="ListParagraph"/>
        <w:numPr>
          <w:ilvl w:val="0"/>
          <w:numId w:val="1"/>
        </w:numPr>
        <w:rPr>
          <w:rFonts w:ascii="Arial" w:hAnsi="Arial" w:cs="Arial"/>
          <w:sz w:val="22"/>
          <w:szCs w:val="22"/>
          <w:u w:val="single"/>
        </w:rPr>
      </w:pPr>
      <w:r w:rsidRPr="000B650D">
        <w:rPr>
          <w:rFonts w:ascii="Arial" w:hAnsi="Arial" w:cs="Arial"/>
          <w:sz w:val="22"/>
          <w:szCs w:val="22"/>
          <w:u w:val="single"/>
        </w:rPr>
        <w:t>Use of “under-guise” investigators</w:t>
      </w:r>
      <w:r w:rsidR="000B650D">
        <w:rPr>
          <w:rFonts w:ascii="Arial" w:hAnsi="Arial" w:cs="Arial"/>
          <w:sz w:val="22"/>
          <w:szCs w:val="22"/>
          <w:u w:val="single"/>
        </w:rPr>
        <w:t>:</w:t>
      </w:r>
    </w:p>
    <w:p w14:paraId="1A9C760F" w14:textId="7F69CD2D" w:rsidR="000B650D" w:rsidRDefault="000B650D" w:rsidP="000B650D">
      <w:pPr>
        <w:pStyle w:val="ListParagraph"/>
        <w:rPr>
          <w:rFonts w:ascii="Arial" w:hAnsi="Arial" w:cs="Arial"/>
          <w:sz w:val="22"/>
          <w:szCs w:val="22"/>
          <w:u w:val="single"/>
        </w:rPr>
      </w:pPr>
    </w:p>
    <w:p w14:paraId="18F12C3D" w14:textId="77777777" w:rsidR="000B650D" w:rsidRPr="000B650D" w:rsidRDefault="000B650D" w:rsidP="000B650D">
      <w:pPr>
        <w:pStyle w:val="ListParagraph"/>
        <w:rPr>
          <w:rFonts w:ascii="Arial" w:hAnsi="Arial" w:cs="Arial"/>
          <w:sz w:val="22"/>
          <w:szCs w:val="22"/>
          <w:u w:val="single"/>
        </w:rPr>
      </w:pPr>
    </w:p>
    <w:p w14:paraId="6602D951" w14:textId="3B6B3157" w:rsidR="00D42717" w:rsidRDefault="00264F63" w:rsidP="00C441D0">
      <w:pPr>
        <w:ind w:left="720"/>
        <w:rPr>
          <w:rFonts w:ascii="Arial" w:hAnsi="Arial" w:cs="Arial"/>
          <w:sz w:val="22"/>
          <w:szCs w:val="22"/>
        </w:rPr>
      </w:pPr>
      <w:r>
        <w:rPr>
          <w:rFonts w:ascii="Arial" w:hAnsi="Arial" w:cs="Arial"/>
          <w:sz w:val="22"/>
          <w:szCs w:val="22"/>
        </w:rPr>
        <w:t>The undertaking of “under-guise” investigations by the GDC has recently come under the spotlight</w:t>
      </w:r>
      <w:r w:rsidR="00C441D0">
        <w:rPr>
          <w:rFonts w:ascii="Arial" w:hAnsi="Arial" w:cs="Arial"/>
          <w:sz w:val="22"/>
          <w:szCs w:val="22"/>
        </w:rPr>
        <w:t xml:space="preserve"> following a case where unusually a stay of proceedings (effectively bringing the proceedings to an end) was granted on the grounds of abuse of </w:t>
      </w:r>
      <w:r w:rsidR="00C441D0">
        <w:rPr>
          <w:rFonts w:ascii="Arial" w:hAnsi="Arial" w:cs="Arial"/>
          <w:sz w:val="22"/>
          <w:szCs w:val="22"/>
        </w:rPr>
        <w:lastRenderedPageBreak/>
        <w:t>process</w:t>
      </w:r>
      <w:r w:rsidR="00C441D0">
        <w:rPr>
          <w:rStyle w:val="FootnoteReference"/>
          <w:rFonts w:ascii="Arial" w:hAnsi="Arial" w:cs="Arial"/>
          <w:sz w:val="22"/>
          <w:szCs w:val="22"/>
        </w:rPr>
        <w:footnoteReference w:id="12"/>
      </w:r>
      <w:r w:rsidR="0011340E">
        <w:rPr>
          <w:rFonts w:ascii="Arial" w:hAnsi="Arial" w:cs="Arial"/>
          <w:sz w:val="22"/>
          <w:szCs w:val="22"/>
        </w:rPr>
        <w:t>.  In that particular case</w:t>
      </w:r>
      <w:r w:rsidR="007B03C6">
        <w:rPr>
          <w:rFonts w:ascii="Arial" w:hAnsi="Arial" w:cs="Arial"/>
          <w:sz w:val="22"/>
          <w:szCs w:val="22"/>
        </w:rPr>
        <w:t xml:space="preserve"> the registrant had the benefit of tenacious legal representation. </w:t>
      </w:r>
      <w:r w:rsidR="0011340E">
        <w:rPr>
          <w:rFonts w:ascii="Arial" w:hAnsi="Arial" w:cs="Arial"/>
          <w:sz w:val="22"/>
          <w:szCs w:val="22"/>
        </w:rPr>
        <w:t xml:space="preserve"> </w:t>
      </w:r>
      <w:r w:rsidR="007B03C6">
        <w:rPr>
          <w:rFonts w:ascii="Arial" w:hAnsi="Arial" w:cs="Arial"/>
          <w:sz w:val="22"/>
          <w:szCs w:val="22"/>
        </w:rPr>
        <w:t>O</w:t>
      </w:r>
      <w:r w:rsidR="00101D97">
        <w:rPr>
          <w:rFonts w:ascii="Arial" w:hAnsi="Arial" w:cs="Arial"/>
          <w:sz w:val="22"/>
          <w:szCs w:val="22"/>
        </w:rPr>
        <w:t>ne</w:t>
      </w:r>
      <w:r w:rsidR="0011340E">
        <w:rPr>
          <w:rFonts w:ascii="Arial" w:hAnsi="Arial" w:cs="Arial"/>
          <w:sz w:val="22"/>
          <w:szCs w:val="22"/>
        </w:rPr>
        <w:t xml:space="preserve"> criticism </w:t>
      </w:r>
      <w:r w:rsidR="007B03C6">
        <w:rPr>
          <w:rFonts w:ascii="Arial" w:hAnsi="Arial" w:cs="Arial"/>
          <w:sz w:val="22"/>
          <w:szCs w:val="22"/>
        </w:rPr>
        <w:t xml:space="preserve">of the GDC’s approach </w:t>
      </w:r>
      <w:r w:rsidR="0011340E">
        <w:rPr>
          <w:rFonts w:ascii="Arial" w:hAnsi="Arial" w:cs="Arial"/>
          <w:sz w:val="22"/>
          <w:szCs w:val="22"/>
        </w:rPr>
        <w:t>was that whereas the initial complaint received by the GDC related to the possibility of a Clinical Dental Technician working without registration, when an under-guise investigation was commissioned, the letter of instruction substantially reformulated the complaint without any objective justification or evidence</w:t>
      </w:r>
      <w:r w:rsidR="00101D97">
        <w:rPr>
          <w:rFonts w:ascii="Arial" w:hAnsi="Arial" w:cs="Arial"/>
          <w:sz w:val="22"/>
          <w:szCs w:val="22"/>
        </w:rPr>
        <w:t xml:space="preserve"> to suggest that rather tha</w:t>
      </w:r>
      <w:r w:rsidR="007B03C6">
        <w:rPr>
          <w:rFonts w:ascii="Arial" w:hAnsi="Arial" w:cs="Arial"/>
          <w:sz w:val="22"/>
          <w:szCs w:val="22"/>
        </w:rPr>
        <w:t>n</w:t>
      </w:r>
      <w:r w:rsidR="00101D97">
        <w:rPr>
          <w:rFonts w:ascii="Arial" w:hAnsi="Arial" w:cs="Arial"/>
          <w:sz w:val="22"/>
          <w:szCs w:val="22"/>
        </w:rPr>
        <w:t xml:space="preserve"> working without registration, the </w:t>
      </w:r>
      <w:r w:rsidR="004B5430">
        <w:rPr>
          <w:rFonts w:ascii="Arial" w:hAnsi="Arial" w:cs="Arial"/>
          <w:sz w:val="22"/>
          <w:szCs w:val="22"/>
        </w:rPr>
        <w:t xml:space="preserve">issue was </w:t>
      </w:r>
      <w:r w:rsidR="007B03C6">
        <w:rPr>
          <w:rFonts w:ascii="Arial" w:hAnsi="Arial" w:cs="Arial"/>
          <w:sz w:val="22"/>
          <w:szCs w:val="22"/>
        </w:rPr>
        <w:t xml:space="preserve">that of </w:t>
      </w:r>
      <w:r w:rsidR="004B5430">
        <w:rPr>
          <w:rFonts w:ascii="Arial" w:hAnsi="Arial" w:cs="Arial"/>
          <w:sz w:val="22"/>
          <w:szCs w:val="22"/>
        </w:rPr>
        <w:t>working out of scope of practice</w:t>
      </w:r>
      <w:r w:rsidR="0011340E">
        <w:rPr>
          <w:rFonts w:ascii="Arial" w:hAnsi="Arial" w:cs="Arial"/>
          <w:sz w:val="22"/>
          <w:szCs w:val="22"/>
        </w:rPr>
        <w:t xml:space="preserve">.  The subsequent under-guise investigation </w:t>
      </w:r>
      <w:r w:rsidR="00D42717">
        <w:rPr>
          <w:rFonts w:ascii="Arial" w:hAnsi="Arial" w:cs="Arial"/>
          <w:sz w:val="22"/>
          <w:szCs w:val="22"/>
        </w:rPr>
        <w:t xml:space="preserve">utilised a </w:t>
      </w:r>
      <w:r w:rsidR="004B5430">
        <w:rPr>
          <w:rFonts w:ascii="Arial" w:hAnsi="Arial" w:cs="Arial"/>
          <w:sz w:val="22"/>
          <w:szCs w:val="22"/>
        </w:rPr>
        <w:t xml:space="preserve">specific </w:t>
      </w:r>
      <w:r w:rsidR="00D42717">
        <w:rPr>
          <w:rFonts w:ascii="Arial" w:hAnsi="Arial" w:cs="Arial"/>
          <w:sz w:val="22"/>
          <w:szCs w:val="22"/>
        </w:rPr>
        <w:t>fictitious scenario which</w:t>
      </w:r>
      <w:r w:rsidR="007B03C6">
        <w:rPr>
          <w:rFonts w:ascii="Arial" w:hAnsi="Arial" w:cs="Arial"/>
          <w:sz w:val="22"/>
          <w:szCs w:val="22"/>
        </w:rPr>
        <w:t>,</w:t>
      </w:r>
      <w:r w:rsidR="004B5430">
        <w:rPr>
          <w:rFonts w:ascii="Arial" w:hAnsi="Arial" w:cs="Arial"/>
          <w:sz w:val="22"/>
          <w:szCs w:val="22"/>
        </w:rPr>
        <w:t xml:space="preserve"> it was found</w:t>
      </w:r>
      <w:r w:rsidR="00C558BF">
        <w:rPr>
          <w:rFonts w:ascii="Arial" w:hAnsi="Arial" w:cs="Arial"/>
          <w:sz w:val="22"/>
          <w:szCs w:val="22"/>
        </w:rPr>
        <w:t>:</w:t>
      </w:r>
      <w:r w:rsidR="00D42717">
        <w:rPr>
          <w:rFonts w:ascii="Arial" w:hAnsi="Arial" w:cs="Arial"/>
          <w:sz w:val="22"/>
          <w:szCs w:val="22"/>
        </w:rPr>
        <w:t xml:space="preserve"> </w:t>
      </w:r>
    </w:p>
    <w:p w14:paraId="2C53001E" w14:textId="77777777" w:rsidR="004B5430" w:rsidRDefault="004B5430" w:rsidP="00C441D0">
      <w:pPr>
        <w:ind w:left="720"/>
        <w:rPr>
          <w:rFonts w:ascii="Arial" w:hAnsi="Arial" w:cs="Arial"/>
          <w:sz w:val="22"/>
          <w:szCs w:val="22"/>
        </w:rPr>
      </w:pPr>
    </w:p>
    <w:p w14:paraId="755387A4" w14:textId="0CB06441" w:rsidR="00C441D0" w:rsidRDefault="00D42717" w:rsidP="00C441D0">
      <w:pPr>
        <w:ind w:left="720"/>
        <w:rPr>
          <w:rFonts w:ascii="Arial" w:hAnsi="Arial" w:cs="Arial"/>
          <w:sz w:val="22"/>
          <w:szCs w:val="22"/>
        </w:rPr>
      </w:pPr>
      <w:r>
        <w:rPr>
          <w:rFonts w:ascii="Arial" w:hAnsi="Arial" w:cs="Arial"/>
          <w:sz w:val="22"/>
          <w:szCs w:val="22"/>
        </w:rPr>
        <w:t>“</w:t>
      </w:r>
      <w:r>
        <w:rPr>
          <w:rFonts w:ascii="Arial" w:hAnsi="Arial" w:cs="Arial"/>
          <w:i/>
          <w:iCs/>
          <w:sz w:val="22"/>
          <w:szCs w:val="22"/>
        </w:rPr>
        <w:t>went beyond providing [the registrant] with an unexceptional opportunity and amounted to inciting him to indicate that he may be prepared to act outside his scope of practice”.</w:t>
      </w:r>
      <w:r>
        <w:rPr>
          <w:rFonts w:ascii="Arial" w:hAnsi="Arial" w:cs="Arial"/>
          <w:sz w:val="22"/>
          <w:szCs w:val="22"/>
        </w:rPr>
        <w:t xml:space="preserve">   </w:t>
      </w:r>
    </w:p>
    <w:p w14:paraId="71312036" w14:textId="04ADA89D" w:rsidR="0011340E" w:rsidRDefault="0011340E" w:rsidP="00C441D0">
      <w:pPr>
        <w:ind w:left="720"/>
        <w:rPr>
          <w:rFonts w:ascii="Arial" w:hAnsi="Arial" w:cs="Arial"/>
          <w:sz w:val="22"/>
          <w:szCs w:val="22"/>
        </w:rPr>
      </w:pPr>
    </w:p>
    <w:p w14:paraId="7732899E" w14:textId="369EDC9C" w:rsidR="00BE2A80" w:rsidRDefault="00D42717" w:rsidP="00096923">
      <w:pPr>
        <w:ind w:left="720"/>
        <w:rPr>
          <w:rFonts w:ascii="Arial" w:hAnsi="Arial" w:cs="Arial"/>
          <w:sz w:val="22"/>
          <w:szCs w:val="22"/>
        </w:rPr>
      </w:pPr>
      <w:r>
        <w:rPr>
          <w:rFonts w:ascii="Arial" w:hAnsi="Arial" w:cs="Arial"/>
          <w:sz w:val="22"/>
          <w:szCs w:val="22"/>
        </w:rPr>
        <w:t>In other words, the tactics employed by the investigators in th</w:t>
      </w:r>
      <w:r w:rsidR="007B03C6">
        <w:rPr>
          <w:rFonts w:ascii="Arial" w:hAnsi="Arial" w:cs="Arial"/>
          <w:sz w:val="22"/>
          <w:szCs w:val="22"/>
        </w:rPr>
        <w:t>is</w:t>
      </w:r>
      <w:r>
        <w:rPr>
          <w:rFonts w:ascii="Arial" w:hAnsi="Arial" w:cs="Arial"/>
          <w:sz w:val="22"/>
          <w:szCs w:val="22"/>
        </w:rPr>
        <w:t xml:space="preserve"> specific investigation amounted to entrapment</w:t>
      </w:r>
      <w:r w:rsidR="00A86B55">
        <w:rPr>
          <w:rFonts w:ascii="Arial" w:hAnsi="Arial" w:cs="Arial"/>
          <w:sz w:val="22"/>
          <w:szCs w:val="22"/>
        </w:rPr>
        <w:t>.</w:t>
      </w:r>
      <w:r>
        <w:rPr>
          <w:rFonts w:ascii="Arial" w:hAnsi="Arial" w:cs="Arial"/>
          <w:sz w:val="22"/>
          <w:szCs w:val="22"/>
        </w:rPr>
        <w:t xml:space="preserve"> </w:t>
      </w:r>
      <w:r w:rsidR="00A86B55">
        <w:rPr>
          <w:rFonts w:ascii="Arial" w:hAnsi="Arial" w:cs="Arial"/>
          <w:sz w:val="22"/>
          <w:szCs w:val="22"/>
        </w:rPr>
        <w:t xml:space="preserve"> F</w:t>
      </w:r>
      <w:r>
        <w:rPr>
          <w:rFonts w:ascii="Arial" w:hAnsi="Arial" w:cs="Arial"/>
          <w:sz w:val="22"/>
          <w:szCs w:val="22"/>
        </w:rPr>
        <w:t xml:space="preserve">ollowing the </w:t>
      </w:r>
      <w:r w:rsidR="00A86B55">
        <w:rPr>
          <w:rFonts w:ascii="Arial" w:hAnsi="Arial" w:cs="Arial"/>
          <w:sz w:val="22"/>
          <w:szCs w:val="22"/>
        </w:rPr>
        <w:t xml:space="preserve">analysis in the </w:t>
      </w:r>
      <w:r>
        <w:rPr>
          <w:rFonts w:ascii="Arial" w:hAnsi="Arial" w:cs="Arial"/>
          <w:sz w:val="22"/>
          <w:szCs w:val="22"/>
        </w:rPr>
        <w:t xml:space="preserve">case of </w:t>
      </w:r>
      <w:r w:rsidR="00A86B55">
        <w:rPr>
          <w:rFonts w:ascii="Arial" w:hAnsi="Arial" w:cs="Arial"/>
          <w:i/>
          <w:iCs/>
          <w:sz w:val="22"/>
          <w:szCs w:val="22"/>
        </w:rPr>
        <w:t xml:space="preserve">R v </w:t>
      </w:r>
      <w:r>
        <w:rPr>
          <w:rFonts w:ascii="Arial" w:hAnsi="Arial" w:cs="Arial"/>
          <w:i/>
          <w:iCs/>
          <w:sz w:val="22"/>
          <w:szCs w:val="22"/>
        </w:rPr>
        <w:t>Loosely</w:t>
      </w:r>
      <w:r w:rsidR="00A86B55" w:rsidRPr="004B5430">
        <w:rPr>
          <w:rStyle w:val="FootnoteReference"/>
          <w:rFonts w:ascii="Arial" w:hAnsi="Arial" w:cs="Arial"/>
          <w:sz w:val="22"/>
          <w:szCs w:val="22"/>
        </w:rPr>
        <w:footnoteReference w:id="13"/>
      </w:r>
      <w:r w:rsidR="00A86B55">
        <w:rPr>
          <w:rFonts w:ascii="Arial" w:hAnsi="Arial" w:cs="Arial"/>
          <w:i/>
          <w:iCs/>
          <w:sz w:val="22"/>
          <w:szCs w:val="22"/>
        </w:rPr>
        <w:t xml:space="preserve"> </w:t>
      </w:r>
      <w:r w:rsidR="00C558BF">
        <w:rPr>
          <w:rFonts w:ascii="Arial" w:hAnsi="Arial" w:cs="Arial"/>
          <w:sz w:val="22"/>
          <w:szCs w:val="22"/>
        </w:rPr>
        <w:t xml:space="preserve">the key issue </w:t>
      </w:r>
      <w:r w:rsidR="004B5430">
        <w:rPr>
          <w:rFonts w:ascii="Arial" w:hAnsi="Arial" w:cs="Arial"/>
          <w:sz w:val="22"/>
          <w:szCs w:val="22"/>
        </w:rPr>
        <w:t xml:space="preserve">here </w:t>
      </w:r>
      <w:r w:rsidR="00C558BF">
        <w:rPr>
          <w:rFonts w:ascii="Arial" w:hAnsi="Arial" w:cs="Arial"/>
          <w:sz w:val="22"/>
          <w:szCs w:val="22"/>
        </w:rPr>
        <w:t xml:space="preserve">appears to be whether the undercover investigation presents to the person under investigation a scenario which could be expected to arise in the </w:t>
      </w:r>
      <w:r w:rsidR="004B5430">
        <w:rPr>
          <w:rFonts w:ascii="Arial" w:hAnsi="Arial" w:cs="Arial"/>
          <w:sz w:val="22"/>
          <w:szCs w:val="22"/>
        </w:rPr>
        <w:t>“</w:t>
      </w:r>
      <w:r w:rsidR="00C558BF">
        <w:rPr>
          <w:rFonts w:ascii="Arial" w:hAnsi="Arial" w:cs="Arial"/>
          <w:sz w:val="22"/>
          <w:szCs w:val="22"/>
        </w:rPr>
        <w:t>normal</w:t>
      </w:r>
      <w:r w:rsidR="004B5430">
        <w:rPr>
          <w:rFonts w:ascii="Arial" w:hAnsi="Arial" w:cs="Arial"/>
          <w:sz w:val="22"/>
          <w:szCs w:val="22"/>
        </w:rPr>
        <w:t xml:space="preserve">” </w:t>
      </w:r>
      <w:r w:rsidR="00C558BF">
        <w:rPr>
          <w:rFonts w:ascii="Arial" w:hAnsi="Arial" w:cs="Arial"/>
          <w:sz w:val="22"/>
          <w:szCs w:val="22"/>
        </w:rPr>
        <w:t xml:space="preserve">course of events, or whether it </w:t>
      </w:r>
      <w:r w:rsidR="00BE2A80">
        <w:rPr>
          <w:rFonts w:ascii="Arial" w:hAnsi="Arial" w:cs="Arial"/>
          <w:sz w:val="22"/>
          <w:szCs w:val="22"/>
        </w:rPr>
        <w:t>presents</w:t>
      </w:r>
      <w:r w:rsidR="00C558BF">
        <w:rPr>
          <w:rFonts w:ascii="Arial" w:hAnsi="Arial" w:cs="Arial"/>
          <w:sz w:val="22"/>
          <w:szCs w:val="22"/>
        </w:rPr>
        <w:t xml:space="preserve"> an exceptional situation </w:t>
      </w:r>
      <w:r w:rsidR="00BE2A80">
        <w:rPr>
          <w:rFonts w:ascii="Arial" w:hAnsi="Arial" w:cs="Arial"/>
          <w:sz w:val="22"/>
          <w:szCs w:val="22"/>
        </w:rPr>
        <w:t xml:space="preserve">which would be most unlikely to occur normally and thereby incites the investigated person to act in </w:t>
      </w:r>
      <w:r w:rsidR="007B03C6">
        <w:rPr>
          <w:rFonts w:ascii="Arial" w:hAnsi="Arial" w:cs="Arial"/>
          <w:sz w:val="22"/>
          <w:szCs w:val="22"/>
        </w:rPr>
        <w:t>an “exceptional”</w:t>
      </w:r>
      <w:r w:rsidR="00BE2A80">
        <w:rPr>
          <w:rFonts w:ascii="Arial" w:hAnsi="Arial" w:cs="Arial"/>
          <w:sz w:val="22"/>
          <w:szCs w:val="22"/>
        </w:rPr>
        <w:t xml:space="preserve"> manner.</w:t>
      </w:r>
      <w:r w:rsidR="00A079E6">
        <w:rPr>
          <w:rFonts w:ascii="Arial" w:hAnsi="Arial" w:cs="Arial"/>
          <w:sz w:val="22"/>
          <w:szCs w:val="22"/>
        </w:rPr>
        <w:t xml:space="preserve">  The former is not entrapment, but legitimate undercover investigation.  The latter </w:t>
      </w:r>
      <w:r w:rsidR="007B03C6">
        <w:rPr>
          <w:rFonts w:ascii="Arial" w:hAnsi="Arial" w:cs="Arial"/>
          <w:sz w:val="22"/>
          <w:szCs w:val="22"/>
        </w:rPr>
        <w:t>may be</w:t>
      </w:r>
      <w:r w:rsidR="00A079E6">
        <w:rPr>
          <w:rFonts w:ascii="Arial" w:hAnsi="Arial" w:cs="Arial"/>
          <w:sz w:val="22"/>
          <w:szCs w:val="22"/>
        </w:rPr>
        <w:t>, depending upon the individual facts of the case, an abuse of process.</w:t>
      </w:r>
    </w:p>
    <w:p w14:paraId="7151C56E" w14:textId="274528B1" w:rsidR="00CB584C" w:rsidRDefault="00BE2A80" w:rsidP="004B5430">
      <w:pPr>
        <w:pStyle w:val="NormalWeb"/>
        <w:ind w:left="709"/>
        <w:rPr>
          <w:rFonts w:ascii="Arial" w:hAnsi="Arial" w:cs="Arial"/>
          <w:sz w:val="22"/>
          <w:szCs w:val="22"/>
        </w:rPr>
      </w:pPr>
      <w:r>
        <w:rPr>
          <w:rFonts w:ascii="Arial" w:hAnsi="Arial" w:cs="Arial"/>
          <w:sz w:val="22"/>
          <w:szCs w:val="22"/>
        </w:rPr>
        <w:t xml:space="preserve">There is no suggestion </w:t>
      </w:r>
      <w:r w:rsidR="00A079E6">
        <w:rPr>
          <w:rFonts w:ascii="Arial" w:hAnsi="Arial" w:cs="Arial"/>
          <w:sz w:val="22"/>
          <w:szCs w:val="22"/>
        </w:rPr>
        <w:t xml:space="preserve">within the published determinations </w:t>
      </w:r>
      <w:r w:rsidR="00BC2C8A">
        <w:rPr>
          <w:rFonts w:ascii="Arial" w:hAnsi="Arial" w:cs="Arial"/>
          <w:sz w:val="22"/>
          <w:szCs w:val="22"/>
        </w:rPr>
        <w:t xml:space="preserve">of the </w:t>
      </w:r>
      <w:r>
        <w:rPr>
          <w:rFonts w:ascii="Arial" w:hAnsi="Arial" w:cs="Arial"/>
          <w:sz w:val="22"/>
          <w:szCs w:val="22"/>
        </w:rPr>
        <w:t xml:space="preserve">four </w:t>
      </w:r>
      <w:r w:rsidR="00A079E6">
        <w:rPr>
          <w:rFonts w:ascii="Arial" w:hAnsi="Arial" w:cs="Arial"/>
          <w:sz w:val="22"/>
          <w:szCs w:val="22"/>
        </w:rPr>
        <w:t xml:space="preserve">Dental Technician </w:t>
      </w:r>
      <w:r>
        <w:rPr>
          <w:rFonts w:ascii="Arial" w:hAnsi="Arial" w:cs="Arial"/>
          <w:sz w:val="22"/>
          <w:szCs w:val="22"/>
        </w:rPr>
        <w:t xml:space="preserve">cases identified in the current </w:t>
      </w:r>
      <w:r w:rsidR="004B5430">
        <w:rPr>
          <w:rFonts w:ascii="Arial" w:hAnsi="Arial" w:cs="Arial"/>
          <w:sz w:val="22"/>
          <w:szCs w:val="22"/>
        </w:rPr>
        <w:t>study</w:t>
      </w:r>
      <w:r>
        <w:rPr>
          <w:rFonts w:ascii="Arial" w:hAnsi="Arial" w:cs="Arial"/>
          <w:sz w:val="22"/>
          <w:szCs w:val="22"/>
        </w:rPr>
        <w:t xml:space="preserve"> </w:t>
      </w:r>
      <w:r w:rsidR="00BC2C8A">
        <w:rPr>
          <w:rFonts w:ascii="Arial" w:hAnsi="Arial" w:cs="Arial"/>
          <w:sz w:val="22"/>
          <w:szCs w:val="22"/>
        </w:rPr>
        <w:t>that the registrants were presented with anything other than scenarios which might arise in the normal course of events and thereafter offered to</w:t>
      </w:r>
      <w:r w:rsidR="00A079E6">
        <w:rPr>
          <w:rFonts w:ascii="Arial" w:hAnsi="Arial" w:cs="Arial"/>
          <w:sz w:val="22"/>
          <w:szCs w:val="22"/>
        </w:rPr>
        <w:t xml:space="preserve"> work outside </w:t>
      </w:r>
      <w:r w:rsidR="00BC2C8A">
        <w:rPr>
          <w:rFonts w:ascii="Arial" w:hAnsi="Arial" w:cs="Arial"/>
          <w:sz w:val="22"/>
          <w:szCs w:val="22"/>
        </w:rPr>
        <w:t xml:space="preserve">their </w:t>
      </w:r>
      <w:r w:rsidR="00A079E6">
        <w:rPr>
          <w:rFonts w:ascii="Arial" w:hAnsi="Arial" w:cs="Arial"/>
          <w:sz w:val="22"/>
          <w:szCs w:val="22"/>
        </w:rPr>
        <w:t>scope of practice</w:t>
      </w:r>
      <w:r w:rsidR="00BC2C8A">
        <w:rPr>
          <w:rFonts w:ascii="Arial" w:hAnsi="Arial" w:cs="Arial"/>
          <w:sz w:val="22"/>
          <w:szCs w:val="22"/>
        </w:rPr>
        <w:t>.</w:t>
      </w:r>
      <w:r w:rsidR="00A079E6">
        <w:rPr>
          <w:rFonts w:ascii="Arial" w:hAnsi="Arial" w:cs="Arial"/>
          <w:sz w:val="22"/>
          <w:szCs w:val="22"/>
        </w:rPr>
        <w:t xml:space="preserve"> </w:t>
      </w:r>
      <w:r w:rsidR="00514611">
        <w:rPr>
          <w:rFonts w:ascii="Arial" w:hAnsi="Arial" w:cs="Arial"/>
          <w:sz w:val="22"/>
          <w:szCs w:val="22"/>
        </w:rPr>
        <w:t xml:space="preserve">The descriptions of the attributes of the fictitious potential patients appear to have been consistent with information that would not put a Dental Technician registrant under “exceptional” pressure to cause them to offer </w:t>
      </w:r>
      <w:r w:rsidR="00BC2C8A">
        <w:rPr>
          <w:rFonts w:ascii="Arial" w:hAnsi="Arial" w:cs="Arial"/>
          <w:sz w:val="22"/>
          <w:szCs w:val="22"/>
        </w:rPr>
        <w:t>or eve</w:t>
      </w:r>
      <w:r w:rsidR="000D6861">
        <w:rPr>
          <w:rFonts w:ascii="Arial" w:hAnsi="Arial" w:cs="Arial"/>
          <w:sz w:val="22"/>
          <w:szCs w:val="22"/>
        </w:rPr>
        <w:t>n</w:t>
      </w:r>
      <w:r w:rsidR="00BC2C8A">
        <w:rPr>
          <w:rFonts w:ascii="Arial" w:hAnsi="Arial" w:cs="Arial"/>
          <w:sz w:val="22"/>
          <w:szCs w:val="22"/>
        </w:rPr>
        <w:t xml:space="preserve"> consider offering </w:t>
      </w:r>
      <w:r w:rsidR="00514611">
        <w:rPr>
          <w:rFonts w:ascii="Arial" w:hAnsi="Arial" w:cs="Arial"/>
          <w:sz w:val="22"/>
          <w:szCs w:val="22"/>
        </w:rPr>
        <w:t xml:space="preserve">to carry out services outwith their scope of practice. </w:t>
      </w:r>
      <w:r w:rsidR="00CB584C">
        <w:rPr>
          <w:rFonts w:ascii="Arial" w:hAnsi="Arial" w:cs="Arial"/>
          <w:sz w:val="22"/>
          <w:szCs w:val="22"/>
        </w:rPr>
        <w:t xml:space="preserve"> Based on the limited information available in the published determinations, it appears that the “fictitious” patients were generally described as older relatives of the investigators, such as “father” or “mother” who had lost their denture or simply needed a new denture.  </w:t>
      </w:r>
    </w:p>
    <w:p w14:paraId="72928728" w14:textId="4E105D46" w:rsidR="00BC2C8A" w:rsidRDefault="00514611" w:rsidP="004B5430">
      <w:pPr>
        <w:pStyle w:val="NormalWeb"/>
        <w:ind w:left="709"/>
      </w:pPr>
      <w:r>
        <w:rPr>
          <w:rFonts w:ascii="Arial" w:hAnsi="Arial" w:cs="Arial"/>
          <w:sz w:val="22"/>
          <w:szCs w:val="22"/>
        </w:rPr>
        <w:t xml:space="preserve">However, it is </w:t>
      </w:r>
      <w:r w:rsidR="002176C4">
        <w:rPr>
          <w:rFonts w:ascii="Arial" w:hAnsi="Arial" w:cs="Arial"/>
          <w:sz w:val="22"/>
          <w:szCs w:val="22"/>
        </w:rPr>
        <w:t xml:space="preserve">perhaps </w:t>
      </w:r>
      <w:r>
        <w:rPr>
          <w:rFonts w:ascii="Arial" w:hAnsi="Arial" w:cs="Arial"/>
          <w:sz w:val="22"/>
          <w:szCs w:val="22"/>
        </w:rPr>
        <w:t xml:space="preserve">notable that </w:t>
      </w:r>
      <w:r w:rsidR="00BC2C8A">
        <w:rPr>
          <w:rFonts w:ascii="Arial" w:hAnsi="Arial" w:cs="Arial"/>
          <w:sz w:val="22"/>
          <w:szCs w:val="22"/>
        </w:rPr>
        <w:t>one registrant in oral evidence explained that the conversation with the investigators had</w:t>
      </w:r>
      <w:r w:rsidR="00BC2C8A">
        <w:rPr>
          <w:rFonts w:ascii="ArialMT" w:hAnsi="ArialMT"/>
          <w:sz w:val="22"/>
          <w:szCs w:val="22"/>
        </w:rPr>
        <w:t xml:space="preserve"> felt </w:t>
      </w:r>
      <w:r w:rsidR="00CB584C">
        <w:rPr>
          <w:rFonts w:ascii="ArialMT" w:hAnsi="ArialMT"/>
          <w:sz w:val="22"/>
          <w:szCs w:val="22"/>
        </w:rPr>
        <w:t xml:space="preserve">to him </w:t>
      </w:r>
      <w:r w:rsidR="00BC2C8A">
        <w:rPr>
          <w:rFonts w:ascii="ArialMT" w:hAnsi="ArialMT"/>
          <w:sz w:val="22"/>
          <w:szCs w:val="22"/>
        </w:rPr>
        <w:t xml:space="preserve">more like an “interrogation” than a normal patient query, to the extent that </w:t>
      </w:r>
      <w:r w:rsidR="000D6861">
        <w:rPr>
          <w:rFonts w:ascii="ArialMT" w:hAnsi="ArialMT"/>
          <w:sz w:val="22"/>
          <w:szCs w:val="22"/>
        </w:rPr>
        <w:t>he</w:t>
      </w:r>
      <w:r w:rsidR="00BC2C8A">
        <w:rPr>
          <w:rFonts w:ascii="ArialMT" w:hAnsi="ArialMT"/>
          <w:sz w:val="22"/>
          <w:szCs w:val="22"/>
        </w:rPr>
        <w:t xml:space="preserve"> felt as though </w:t>
      </w:r>
      <w:r w:rsidR="000D6861">
        <w:rPr>
          <w:rFonts w:ascii="ArialMT" w:hAnsi="ArialMT"/>
          <w:sz w:val="22"/>
          <w:szCs w:val="22"/>
        </w:rPr>
        <w:t>he was</w:t>
      </w:r>
      <w:r w:rsidR="00BC2C8A">
        <w:rPr>
          <w:rFonts w:ascii="ArialMT" w:hAnsi="ArialMT"/>
          <w:sz w:val="22"/>
          <w:szCs w:val="22"/>
        </w:rPr>
        <w:t xml:space="preserve"> being pressurised or “dragged” into saying the </w:t>
      </w:r>
      <w:r w:rsidR="00CB584C">
        <w:rPr>
          <w:rFonts w:ascii="ArialMT" w:hAnsi="ArialMT"/>
          <w:sz w:val="22"/>
          <w:szCs w:val="22"/>
        </w:rPr>
        <w:t>“</w:t>
      </w:r>
      <w:r w:rsidR="00BC2C8A" w:rsidRPr="00CB584C">
        <w:rPr>
          <w:rFonts w:ascii="ArialMT" w:hAnsi="ArialMT"/>
          <w:i/>
          <w:iCs/>
          <w:sz w:val="22"/>
          <w:szCs w:val="22"/>
        </w:rPr>
        <w:t>wrong thing</w:t>
      </w:r>
      <w:r w:rsidR="00CB584C">
        <w:rPr>
          <w:rFonts w:ascii="ArialMT" w:hAnsi="ArialMT"/>
          <w:sz w:val="22"/>
          <w:szCs w:val="22"/>
        </w:rPr>
        <w:t>”</w:t>
      </w:r>
      <w:r w:rsidR="00BC2C8A">
        <w:rPr>
          <w:rFonts w:ascii="ArialMT" w:hAnsi="ArialMT"/>
          <w:sz w:val="22"/>
          <w:szCs w:val="22"/>
        </w:rPr>
        <w:t xml:space="preserve">. </w:t>
      </w:r>
      <w:r w:rsidR="000D6861">
        <w:rPr>
          <w:rFonts w:ascii="ArialMT" w:hAnsi="ArialMT"/>
          <w:sz w:val="22"/>
          <w:szCs w:val="22"/>
        </w:rPr>
        <w:t>He had</w:t>
      </w:r>
      <w:r w:rsidR="00BC2C8A">
        <w:rPr>
          <w:rFonts w:ascii="ArialMT" w:hAnsi="ArialMT"/>
          <w:sz w:val="22"/>
          <w:szCs w:val="22"/>
        </w:rPr>
        <w:t xml:space="preserve"> even suspected at the time that the visitors might be from the GDC. </w:t>
      </w:r>
      <w:r w:rsidR="002176C4">
        <w:rPr>
          <w:rFonts w:ascii="ArialMT" w:hAnsi="ArialMT"/>
          <w:sz w:val="22"/>
          <w:szCs w:val="22"/>
        </w:rPr>
        <w:t>The line between what is a scenario which presents an unexceptional opportunity and one which goes significantly beyond this so as to make it exceptional, is likely to be very fact-specific.</w:t>
      </w:r>
    </w:p>
    <w:p w14:paraId="6051695A" w14:textId="3F291132" w:rsidR="00176E9F" w:rsidRDefault="00CB584C" w:rsidP="004B5430">
      <w:pPr>
        <w:ind w:left="709"/>
        <w:rPr>
          <w:rFonts w:ascii="Arial" w:hAnsi="Arial" w:cs="Arial"/>
          <w:sz w:val="22"/>
          <w:szCs w:val="22"/>
        </w:rPr>
      </w:pPr>
      <w:r>
        <w:rPr>
          <w:rFonts w:ascii="Arial" w:hAnsi="Arial" w:cs="Arial"/>
          <w:sz w:val="22"/>
          <w:szCs w:val="22"/>
        </w:rPr>
        <w:t xml:space="preserve">It </w:t>
      </w:r>
      <w:r w:rsidR="007B03C6">
        <w:rPr>
          <w:rFonts w:ascii="Arial" w:hAnsi="Arial" w:cs="Arial"/>
          <w:sz w:val="22"/>
          <w:szCs w:val="22"/>
        </w:rPr>
        <w:t>certainly appears possible</w:t>
      </w:r>
      <w:r>
        <w:rPr>
          <w:rFonts w:ascii="Arial" w:hAnsi="Arial" w:cs="Arial"/>
          <w:sz w:val="22"/>
          <w:szCs w:val="22"/>
        </w:rPr>
        <w:t xml:space="preserve"> that the GDC will continue to employ “under-guise” investigators in order to gather evidence when a complaint is received regarding a registrant working outside their scope of practice</w:t>
      </w:r>
      <w:r w:rsidR="002176C4">
        <w:rPr>
          <w:rFonts w:ascii="Arial" w:hAnsi="Arial" w:cs="Arial"/>
          <w:sz w:val="22"/>
          <w:szCs w:val="22"/>
        </w:rPr>
        <w:t xml:space="preserve">.  </w:t>
      </w:r>
    </w:p>
    <w:p w14:paraId="2F6D612A" w14:textId="12356698" w:rsidR="002176C4" w:rsidRDefault="002176C4" w:rsidP="007053B4">
      <w:pPr>
        <w:rPr>
          <w:rFonts w:ascii="Arial" w:hAnsi="Arial" w:cs="Arial"/>
          <w:sz w:val="22"/>
          <w:szCs w:val="22"/>
        </w:rPr>
      </w:pPr>
    </w:p>
    <w:p w14:paraId="25ADA2FF" w14:textId="6476B18D" w:rsidR="002176C4" w:rsidRDefault="002176C4" w:rsidP="007053B4">
      <w:pPr>
        <w:rPr>
          <w:rFonts w:ascii="Arial" w:hAnsi="Arial" w:cs="Arial"/>
          <w:b/>
          <w:bCs/>
          <w:sz w:val="22"/>
          <w:szCs w:val="22"/>
          <w:u w:val="single"/>
        </w:rPr>
      </w:pPr>
      <w:r w:rsidRPr="002176C4">
        <w:rPr>
          <w:rFonts w:ascii="Arial" w:hAnsi="Arial" w:cs="Arial"/>
          <w:b/>
          <w:bCs/>
          <w:sz w:val="22"/>
          <w:szCs w:val="22"/>
          <w:u w:val="single"/>
        </w:rPr>
        <w:lastRenderedPageBreak/>
        <w:t>CONCLUSION</w:t>
      </w:r>
      <w:r w:rsidR="00096923">
        <w:rPr>
          <w:rFonts w:ascii="Arial" w:hAnsi="Arial" w:cs="Arial"/>
          <w:b/>
          <w:bCs/>
          <w:sz w:val="22"/>
          <w:szCs w:val="22"/>
          <w:u w:val="single"/>
        </w:rPr>
        <w:t>S</w:t>
      </w:r>
    </w:p>
    <w:p w14:paraId="0B522BD1" w14:textId="6A679E2E" w:rsidR="004B5430" w:rsidRDefault="004B5430" w:rsidP="007053B4">
      <w:pPr>
        <w:rPr>
          <w:rFonts w:ascii="Arial" w:hAnsi="Arial" w:cs="Arial"/>
          <w:b/>
          <w:bCs/>
          <w:sz w:val="22"/>
          <w:szCs w:val="22"/>
          <w:u w:val="single"/>
        </w:rPr>
      </w:pPr>
    </w:p>
    <w:p w14:paraId="7F8933BF" w14:textId="1A6BC4D2" w:rsidR="00976B39" w:rsidRDefault="00976B39" w:rsidP="007053B4">
      <w:pPr>
        <w:rPr>
          <w:rFonts w:ascii="Arial" w:hAnsi="Arial" w:cs="Arial"/>
          <w:sz w:val="22"/>
          <w:szCs w:val="22"/>
        </w:rPr>
      </w:pPr>
      <w:r>
        <w:rPr>
          <w:rFonts w:ascii="Arial" w:hAnsi="Arial" w:cs="Arial"/>
          <w:sz w:val="22"/>
          <w:szCs w:val="22"/>
        </w:rPr>
        <w:t>Based on this small study</w:t>
      </w:r>
      <w:r w:rsidR="00382B3F">
        <w:rPr>
          <w:rFonts w:ascii="Arial" w:hAnsi="Arial" w:cs="Arial"/>
          <w:sz w:val="22"/>
          <w:szCs w:val="22"/>
        </w:rPr>
        <w:t>,</w:t>
      </w:r>
      <w:r>
        <w:rPr>
          <w:rFonts w:ascii="Arial" w:hAnsi="Arial" w:cs="Arial"/>
          <w:sz w:val="22"/>
          <w:szCs w:val="22"/>
        </w:rPr>
        <w:t xml:space="preserve"> whilst recognising the methodological limitations, it appears that some r</w:t>
      </w:r>
      <w:r w:rsidR="004B5430">
        <w:rPr>
          <w:rFonts w:ascii="Arial" w:hAnsi="Arial" w:cs="Arial"/>
          <w:sz w:val="22"/>
          <w:szCs w:val="22"/>
        </w:rPr>
        <w:t xml:space="preserve">egistered Dental Technicians </w:t>
      </w:r>
      <w:r>
        <w:rPr>
          <w:rFonts w:ascii="Arial" w:hAnsi="Arial" w:cs="Arial"/>
          <w:sz w:val="22"/>
          <w:szCs w:val="22"/>
        </w:rPr>
        <w:t>are prepared to offer to work and/or actually work outside their scope of practice.  The GDC, in line with its statutory duties, takes a robust approach, upon occasions commissioning under-guise investigations.</w:t>
      </w:r>
      <w:r w:rsidR="00096923">
        <w:rPr>
          <w:rFonts w:ascii="Arial" w:hAnsi="Arial" w:cs="Arial"/>
          <w:sz w:val="22"/>
          <w:szCs w:val="22"/>
        </w:rPr>
        <w:t xml:space="preserve">  Where these present no more than unexceptional scenarios</w:t>
      </w:r>
      <w:r w:rsidR="007B03C6">
        <w:rPr>
          <w:rFonts w:ascii="Arial" w:hAnsi="Arial" w:cs="Arial"/>
          <w:sz w:val="22"/>
          <w:szCs w:val="22"/>
        </w:rPr>
        <w:t xml:space="preserve"> to registrants</w:t>
      </w:r>
      <w:r w:rsidR="00096923">
        <w:rPr>
          <w:rFonts w:ascii="Arial" w:hAnsi="Arial" w:cs="Arial"/>
          <w:sz w:val="22"/>
          <w:szCs w:val="22"/>
        </w:rPr>
        <w:t xml:space="preserve">, they are likely to be justifiable.  </w:t>
      </w:r>
    </w:p>
    <w:p w14:paraId="3A160A30" w14:textId="77777777" w:rsidR="00096923" w:rsidRDefault="00096923" w:rsidP="007053B4">
      <w:pPr>
        <w:rPr>
          <w:rFonts w:ascii="Arial" w:hAnsi="Arial" w:cs="Arial"/>
          <w:sz w:val="22"/>
          <w:szCs w:val="22"/>
        </w:rPr>
      </w:pPr>
    </w:p>
    <w:p w14:paraId="225763D4" w14:textId="6EEE6FE4" w:rsidR="00976B39" w:rsidRDefault="00976B39" w:rsidP="007053B4">
      <w:pPr>
        <w:rPr>
          <w:rFonts w:ascii="Arial" w:hAnsi="Arial" w:cs="Arial"/>
          <w:sz w:val="22"/>
          <w:szCs w:val="22"/>
        </w:rPr>
      </w:pPr>
      <w:r>
        <w:rPr>
          <w:rFonts w:ascii="Arial" w:hAnsi="Arial" w:cs="Arial"/>
          <w:sz w:val="22"/>
          <w:szCs w:val="22"/>
        </w:rPr>
        <w:t xml:space="preserve">Because of the nature of the test for dishonesty derived from the case of </w:t>
      </w:r>
      <w:r>
        <w:rPr>
          <w:rFonts w:ascii="Arial" w:hAnsi="Arial" w:cs="Arial"/>
          <w:i/>
          <w:iCs/>
          <w:sz w:val="22"/>
          <w:szCs w:val="22"/>
        </w:rPr>
        <w:t xml:space="preserve">Ivey, </w:t>
      </w:r>
      <w:r>
        <w:rPr>
          <w:rFonts w:ascii="Arial" w:hAnsi="Arial" w:cs="Arial"/>
          <w:sz w:val="22"/>
          <w:szCs w:val="22"/>
        </w:rPr>
        <w:t xml:space="preserve">it is more likely than not that where a registrant </w:t>
      </w:r>
      <w:r w:rsidR="007B03C6">
        <w:rPr>
          <w:rFonts w:ascii="Arial" w:hAnsi="Arial" w:cs="Arial"/>
          <w:sz w:val="22"/>
          <w:szCs w:val="22"/>
        </w:rPr>
        <w:t xml:space="preserve">offers to work or actually </w:t>
      </w:r>
      <w:r>
        <w:rPr>
          <w:rFonts w:ascii="Arial" w:hAnsi="Arial" w:cs="Arial"/>
          <w:sz w:val="22"/>
          <w:szCs w:val="22"/>
        </w:rPr>
        <w:t>works outside the scope of practice or fails to inform the GDC of a criminal conviction, their actions will be also found dishonest.</w:t>
      </w:r>
    </w:p>
    <w:p w14:paraId="0AE64A73" w14:textId="3FC2DC0B" w:rsidR="00382B3F" w:rsidRDefault="00382B3F" w:rsidP="007053B4">
      <w:pPr>
        <w:rPr>
          <w:rFonts w:ascii="Arial" w:hAnsi="Arial" w:cs="Arial"/>
          <w:sz w:val="22"/>
          <w:szCs w:val="22"/>
        </w:rPr>
      </w:pPr>
    </w:p>
    <w:p w14:paraId="318069AA" w14:textId="5E477699" w:rsidR="00382B3F" w:rsidRDefault="00382B3F" w:rsidP="007053B4">
      <w:pPr>
        <w:rPr>
          <w:rFonts w:ascii="Arial" w:hAnsi="Arial" w:cs="Arial"/>
          <w:sz w:val="22"/>
          <w:szCs w:val="22"/>
        </w:rPr>
      </w:pPr>
      <w:r>
        <w:rPr>
          <w:rFonts w:ascii="Arial" w:hAnsi="Arial" w:cs="Arial"/>
          <w:sz w:val="22"/>
          <w:szCs w:val="22"/>
        </w:rPr>
        <w:t>A finding of dishonesty will almost inevitably result in a finding of current impairment on public interest grounds.  A sanction of suspension of registration at the very least will then result.</w:t>
      </w:r>
      <w:r w:rsidR="009164E7">
        <w:rPr>
          <w:rFonts w:ascii="Arial" w:hAnsi="Arial" w:cs="Arial"/>
          <w:sz w:val="22"/>
          <w:szCs w:val="22"/>
        </w:rPr>
        <w:t xml:space="preserve"> </w:t>
      </w:r>
    </w:p>
    <w:p w14:paraId="39518D1B" w14:textId="089F265F" w:rsidR="00382B3F" w:rsidRDefault="00382B3F" w:rsidP="007053B4">
      <w:pPr>
        <w:rPr>
          <w:rFonts w:ascii="Arial" w:hAnsi="Arial" w:cs="Arial"/>
          <w:sz w:val="22"/>
          <w:szCs w:val="22"/>
        </w:rPr>
      </w:pPr>
    </w:p>
    <w:p w14:paraId="5C8FB871" w14:textId="5CA49C75" w:rsidR="00382B3F" w:rsidRDefault="00382B3F" w:rsidP="007053B4">
      <w:pPr>
        <w:rPr>
          <w:rFonts w:ascii="Arial" w:hAnsi="Arial" w:cs="Arial"/>
          <w:sz w:val="22"/>
          <w:szCs w:val="22"/>
        </w:rPr>
      </w:pPr>
      <w:r>
        <w:rPr>
          <w:rFonts w:ascii="Arial" w:hAnsi="Arial" w:cs="Arial"/>
          <w:sz w:val="22"/>
          <w:szCs w:val="22"/>
        </w:rPr>
        <w:t xml:space="preserve">It is significant that several </w:t>
      </w:r>
      <w:r w:rsidR="00096923">
        <w:rPr>
          <w:rFonts w:ascii="Arial" w:hAnsi="Arial" w:cs="Arial"/>
          <w:sz w:val="22"/>
          <w:szCs w:val="22"/>
        </w:rPr>
        <w:t>D</w:t>
      </w:r>
      <w:r>
        <w:rPr>
          <w:rFonts w:ascii="Arial" w:hAnsi="Arial" w:cs="Arial"/>
          <w:sz w:val="22"/>
          <w:szCs w:val="22"/>
        </w:rPr>
        <w:t xml:space="preserve">ental </w:t>
      </w:r>
      <w:r w:rsidR="00096923">
        <w:rPr>
          <w:rFonts w:ascii="Arial" w:hAnsi="Arial" w:cs="Arial"/>
          <w:sz w:val="22"/>
          <w:szCs w:val="22"/>
        </w:rPr>
        <w:t>T</w:t>
      </w:r>
      <w:r>
        <w:rPr>
          <w:rFonts w:ascii="Arial" w:hAnsi="Arial" w:cs="Arial"/>
          <w:sz w:val="22"/>
          <w:szCs w:val="22"/>
        </w:rPr>
        <w:t xml:space="preserve">echnicians have failed to engage in the regulatory process in a consistent and meaningful way, by failing to appear at hearings. </w:t>
      </w:r>
      <w:r w:rsidR="00096923">
        <w:rPr>
          <w:rFonts w:ascii="Arial" w:hAnsi="Arial" w:cs="Arial"/>
          <w:sz w:val="22"/>
          <w:szCs w:val="22"/>
        </w:rPr>
        <w:t xml:space="preserve"> Suspension of registration or extension of suspension is likely to result from such a course of action.</w:t>
      </w:r>
    </w:p>
    <w:p w14:paraId="32130F78" w14:textId="204535B4" w:rsidR="00096923" w:rsidRDefault="00096923" w:rsidP="007053B4">
      <w:pPr>
        <w:rPr>
          <w:rFonts w:ascii="Arial" w:hAnsi="Arial" w:cs="Arial"/>
          <w:sz w:val="22"/>
          <w:szCs w:val="22"/>
        </w:rPr>
      </w:pPr>
    </w:p>
    <w:p w14:paraId="1A29FC55" w14:textId="4824261A" w:rsidR="00096923" w:rsidRPr="00976B39" w:rsidRDefault="009164E7" w:rsidP="007053B4">
      <w:pPr>
        <w:rPr>
          <w:rFonts w:ascii="Arial" w:hAnsi="Arial" w:cs="Arial"/>
          <w:sz w:val="22"/>
          <w:szCs w:val="22"/>
        </w:rPr>
      </w:pPr>
      <w:r>
        <w:rPr>
          <w:rFonts w:ascii="Arial" w:hAnsi="Arial" w:cs="Arial"/>
          <w:sz w:val="22"/>
          <w:szCs w:val="22"/>
        </w:rPr>
        <w:t xml:space="preserve">Dental Technicians </w:t>
      </w:r>
      <w:r w:rsidR="006537EB">
        <w:rPr>
          <w:rFonts w:ascii="Arial" w:hAnsi="Arial" w:cs="Arial"/>
          <w:sz w:val="22"/>
          <w:szCs w:val="22"/>
        </w:rPr>
        <w:t xml:space="preserve">facing a regulatory hearing </w:t>
      </w:r>
      <w:r>
        <w:rPr>
          <w:rFonts w:ascii="Arial" w:hAnsi="Arial" w:cs="Arial"/>
          <w:sz w:val="22"/>
          <w:szCs w:val="22"/>
        </w:rPr>
        <w:t xml:space="preserve">do not always </w:t>
      </w:r>
      <w:r w:rsidR="006537EB">
        <w:rPr>
          <w:rFonts w:ascii="Arial" w:hAnsi="Arial" w:cs="Arial"/>
          <w:sz w:val="22"/>
          <w:szCs w:val="22"/>
        </w:rPr>
        <w:t>have p</w:t>
      </w:r>
      <w:r>
        <w:rPr>
          <w:rFonts w:ascii="Arial" w:hAnsi="Arial" w:cs="Arial"/>
          <w:sz w:val="22"/>
          <w:szCs w:val="22"/>
        </w:rPr>
        <w:t xml:space="preserve">rofessional legal advice and representation </w:t>
      </w:r>
      <w:r w:rsidR="006537EB">
        <w:rPr>
          <w:rFonts w:ascii="Arial" w:hAnsi="Arial" w:cs="Arial"/>
          <w:sz w:val="22"/>
          <w:szCs w:val="22"/>
        </w:rPr>
        <w:t>but may well benefit from doing so.</w:t>
      </w:r>
    </w:p>
    <w:p w14:paraId="0965B524" w14:textId="1DE2D5F6" w:rsidR="002176C4" w:rsidRDefault="002176C4" w:rsidP="007053B4">
      <w:pPr>
        <w:rPr>
          <w:rFonts w:ascii="Arial" w:hAnsi="Arial" w:cs="Arial"/>
          <w:b/>
          <w:bCs/>
          <w:sz w:val="22"/>
          <w:szCs w:val="22"/>
          <w:u w:val="single"/>
        </w:rPr>
      </w:pPr>
    </w:p>
    <w:p w14:paraId="2236F478" w14:textId="77777777" w:rsidR="002176C4" w:rsidRPr="002176C4" w:rsidRDefault="002176C4" w:rsidP="007053B4">
      <w:pPr>
        <w:rPr>
          <w:rFonts w:ascii="Arial" w:hAnsi="Arial" w:cs="Arial"/>
          <w:b/>
          <w:bCs/>
          <w:sz w:val="22"/>
          <w:szCs w:val="22"/>
          <w:u w:val="single"/>
        </w:rPr>
      </w:pPr>
    </w:p>
    <w:sectPr w:rsidR="002176C4" w:rsidRPr="002176C4" w:rsidSect="008E31B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8A1A06" w14:textId="77777777" w:rsidR="00DF3C84" w:rsidRDefault="00DF3C84" w:rsidP="006D329A">
      <w:r>
        <w:separator/>
      </w:r>
    </w:p>
  </w:endnote>
  <w:endnote w:type="continuationSeparator" w:id="0">
    <w:p w14:paraId="2756413E" w14:textId="77777777" w:rsidR="00DF3C84" w:rsidRDefault="00DF3C84" w:rsidP="006D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HelveticaNeueLT">
    <w:altName w:val="Arial"/>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MT">
    <w:altName w:val="Arial"/>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C36EA6" w14:textId="77777777" w:rsidR="00DF3C84" w:rsidRDefault="00DF3C84" w:rsidP="006D329A">
      <w:r>
        <w:separator/>
      </w:r>
    </w:p>
  </w:footnote>
  <w:footnote w:type="continuationSeparator" w:id="0">
    <w:p w14:paraId="0A3DDF47" w14:textId="77777777" w:rsidR="00DF3C84" w:rsidRDefault="00DF3C84" w:rsidP="006D329A">
      <w:r>
        <w:continuationSeparator/>
      </w:r>
    </w:p>
  </w:footnote>
  <w:footnote w:id="1">
    <w:p w14:paraId="1B988258" w14:textId="795EA0AA" w:rsidR="00441B61" w:rsidRDefault="00441B61">
      <w:pPr>
        <w:pStyle w:val="FootnoteText"/>
      </w:pPr>
      <w:r>
        <w:rPr>
          <w:rStyle w:val="FootnoteReference"/>
        </w:rPr>
        <w:footnoteRef/>
      </w:r>
      <w:r>
        <w:t xml:space="preserve"> Dentists Act 1956 c.29 S1 (1) : “</w:t>
      </w:r>
      <w:r w:rsidRPr="00EC2249">
        <w:rPr>
          <w:rFonts w:ascii="Source Sans Pro" w:eastAsia="Times New Roman" w:hAnsi="Source Sans Pro" w:cs="Times New Roman"/>
          <w:i/>
          <w:iCs/>
          <w:color w:val="212121"/>
          <w:lang w:eastAsia="en-GB"/>
        </w:rPr>
        <w:t>With a view to making the dental profession a self-governing profession, there shall be established, in accordance with the provisions of this Act, a body to be called the General Dental Council whose general concern it shall be to promote high standards of professional education and professional conduct among dentists and who shall in particular perform the functions assigned to them by this Act</w:t>
      </w:r>
      <w:r>
        <w:rPr>
          <w:rFonts w:ascii="Source Sans Pro" w:eastAsia="Times New Roman" w:hAnsi="Source Sans Pro" w:cs="Times New Roman"/>
          <w:color w:val="212121"/>
          <w:lang w:eastAsia="en-GB"/>
        </w:rPr>
        <w:t>”</w:t>
      </w:r>
    </w:p>
  </w:footnote>
  <w:footnote w:id="2">
    <w:p w14:paraId="42728ED7" w14:textId="5FF54366" w:rsidR="00441B61" w:rsidRPr="00D67E3E" w:rsidRDefault="00441B61" w:rsidP="00D67E3E">
      <w:pPr>
        <w:pStyle w:val="Heading1"/>
        <w:spacing w:before="0" w:line="288" w:lineRule="atLeast"/>
        <w:ind w:right="-240"/>
        <w:rPr>
          <w:rFonts w:ascii="Source Sans Pro" w:hAnsi="Source Sans Pro"/>
          <w:color w:val="252525"/>
          <w:sz w:val="24"/>
          <w:szCs w:val="24"/>
        </w:rPr>
      </w:pPr>
      <w:r w:rsidRPr="00D67E3E">
        <w:rPr>
          <w:rStyle w:val="FootnoteReference"/>
          <w:rFonts w:asciiTheme="minorHAnsi" w:eastAsiaTheme="minorHAnsi" w:hAnsiTheme="minorHAnsi" w:cstheme="minorBidi"/>
          <w:color w:val="auto"/>
          <w:sz w:val="20"/>
          <w:szCs w:val="20"/>
        </w:rPr>
        <w:footnoteRef/>
      </w:r>
      <w:r w:rsidRPr="00D67E3E">
        <w:rPr>
          <w:rStyle w:val="FootnoteReference"/>
          <w:rFonts w:asciiTheme="minorHAnsi" w:eastAsiaTheme="minorHAnsi" w:hAnsiTheme="minorHAnsi" w:cstheme="minorBidi"/>
          <w:color w:val="auto"/>
          <w:sz w:val="20"/>
          <w:szCs w:val="20"/>
        </w:rPr>
        <w:t xml:space="preserve"> </w:t>
      </w:r>
      <w:hyperlink r:id="rId1" w:tooltip="Dentists Act 1984 c. 24 &gt; Part I THE GENERAL DENTAL COUNCIL" w:history="1">
        <w:r w:rsidRPr="00C07064">
          <w:rPr>
            <w:rFonts w:asciiTheme="minorHAnsi" w:eastAsiaTheme="minorHAnsi" w:hAnsiTheme="minorHAnsi" w:cstheme="minorBidi"/>
            <w:color w:val="auto"/>
            <w:sz w:val="20"/>
            <w:szCs w:val="20"/>
          </w:rPr>
          <w:t>Dentists Act 1984 c. 24</w:t>
        </w:r>
      </w:hyperlink>
    </w:p>
  </w:footnote>
  <w:footnote w:id="3">
    <w:p w14:paraId="33298ECF" w14:textId="0D36D24B" w:rsidR="00441B61" w:rsidRDefault="00441B61" w:rsidP="002E6FA6">
      <w:pPr>
        <w:pStyle w:val="FootnoteText"/>
      </w:pPr>
      <w:r>
        <w:rPr>
          <w:rStyle w:val="FootnoteReference"/>
        </w:rPr>
        <w:footnoteRef/>
      </w:r>
      <w:r>
        <w:t xml:space="preserve"> GDC website. About Us.  </w:t>
      </w:r>
      <w:hyperlink r:id="rId2" w:history="1">
        <w:r w:rsidRPr="003F30F0">
          <w:rPr>
            <w:rStyle w:val="Hyperlink"/>
          </w:rPr>
          <w:t>https://www.gdc-uk.org/about-us</w:t>
        </w:r>
      </w:hyperlink>
      <w:r>
        <w:t xml:space="preserve">  Downloaded on 29 December 2019.</w:t>
      </w:r>
    </w:p>
  </w:footnote>
  <w:footnote w:id="4">
    <w:p w14:paraId="3A5CC66B" w14:textId="16921ED9" w:rsidR="00441B61" w:rsidRDefault="00441B61">
      <w:pPr>
        <w:pStyle w:val="FootnoteText"/>
      </w:pPr>
      <w:r>
        <w:rPr>
          <w:rStyle w:val="FootnoteReference"/>
        </w:rPr>
        <w:footnoteRef/>
      </w:r>
      <w:r>
        <w:t xml:space="preserve"> GDC website.  How to Join the Register. </w:t>
      </w:r>
      <w:hyperlink r:id="rId3" w:history="1">
        <w:r w:rsidRPr="003F30F0">
          <w:rPr>
            <w:rStyle w:val="Hyperlink"/>
          </w:rPr>
          <w:t>https://www.gdc-uk.org/registration/join-the-register/how-to-join-the-register</w:t>
        </w:r>
      </w:hyperlink>
      <w:r>
        <w:t xml:space="preserve"> Downloaded on 29 December 2019.</w:t>
      </w:r>
    </w:p>
  </w:footnote>
  <w:footnote w:id="5">
    <w:p w14:paraId="419CFBBB" w14:textId="25E74E15" w:rsidR="00441B61" w:rsidRDefault="00441B61">
      <w:pPr>
        <w:pStyle w:val="FootnoteText"/>
      </w:pPr>
      <w:r>
        <w:rPr>
          <w:rStyle w:val="FootnoteReference"/>
        </w:rPr>
        <w:footnoteRef/>
      </w:r>
      <w:r>
        <w:t xml:space="preserve"> </w:t>
      </w:r>
      <w:r w:rsidRPr="00EF0D60">
        <w:t>GDC website</w:t>
      </w:r>
      <w:r>
        <w:t xml:space="preserve">. Scope of Practice. </w:t>
      </w:r>
      <w:r w:rsidRPr="00EF0D60">
        <w:t xml:space="preserve"> </w:t>
      </w:r>
      <w:hyperlink r:id="rId4" w:history="1">
        <w:r w:rsidRPr="003F30F0">
          <w:rPr>
            <w:rStyle w:val="Hyperlink"/>
          </w:rPr>
          <w:t>https://www.gdc-uk.org/docs/default-source/scope-of-practice/scope-of-practice.pdf?sfvrsn=8f417ca8_4</w:t>
        </w:r>
      </w:hyperlink>
      <w:r>
        <w:rPr>
          <w:rStyle w:val="Hyperlink"/>
        </w:rPr>
        <w:t xml:space="preserve"> </w:t>
      </w:r>
      <w:r>
        <w:t>Downloaded on 29 December 2019.</w:t>
      </w:r>
    </w:p>
  </w:footnote>
  <w:footnote w:id="6">
    <w:p w14:paraId="0C0DC76D" w14:textId="1D36995D" w:rsidR="00441B61" w:rsidRDefault="00441B61">
      <w:pPr>
        <w:pStyle w:val="FootnoteText"/>
      </w:pPr>
      <w:r>
        <w:rPr>
          <w:rStyle w:val="FootnoteReference"/>
        </w:rPr>
        <w:footnoteRef/>
      </w:r>
      <w:r>
        <w:t xml:space="preserve"> GDC website.  Standards for the Dental Team.  </w:t>
      </w:r>
      <w:r w:rsidRPr="00D67E3E">
        <w:t>https://www.gdc-uk.org/docs/default-source/standards-for-the-dental-team/standards-printer-friendly-colour.pdf?sfvrsn=98cffb88_2</w:t>
      </w:r>
    </w:p>
  </w:footnote>
  <w:footnote w:id="7">
    <w:p w14:paraId="1D5A0438" w14:textId="59FFE71F" w:rsidR="00441B61" w:rsidRDefault="00441B61" w:rsidP="00EF0D60">
      <w:pPr>
        <w:pStyle w:val="FootnoteText"/>
      </w:pPr>
      <w:r>
        <w:rPr>
          <w:rStyle w:val="FootnoteReference"/>
        </w:rPr>
        <w:footnoteRef/>
      </w:r>
      <w:r>
        <w:t xml:space="preserve"> GDC website.  Registration report December 2019. </w:t>
      </w:r>
      <w:hyperlink r:id="rId5" w:history="1">
        <w:r w:rsidRPr="003F30F0">
          <w:rPr>
            <w:rStyle w:val="Hyperlink"/>
          </w:rPr>
          <w:t>https://www.gdc-uk.org/docs/default-source/registration-reports/registration-report---december-2019.pdf?sfvrsn=39e9b72e_2</w:t>
        </w:r>
      </w:hyperlink>
    </w:p>
    <w:p w14:paraId="507D00E8" w14:textId="1C1F1CF6" w:rsidR="00441B61" w:rsidRDefault="00441B61">
      <w:pPr>
        <w:pStyle w:val="FootnoteText"/>
      </w:pPr>
      <w:r>
        <w:t xml:space="preserve"> Downloaded on 29 December 2019</w:t>
      </w:r>
    </w:p>
  </w:footnote>
  <w:footnote w:id="8">
    <w:p w14:paraId="44503362" w14:textId="2BD1E4B9" w:rsidR="00441B61" w:rsidRDefault="00441B61">
      <w:pPr>
        <w:pStyle w:val="FootnoteText"/>
      </w:pPr>
      <w:r>
        <w:rPr>
          <w:rStyle w:val="FootnoteReference"/>
        </w:rPr>
        <w:footnoteRef/>
      </w:r>
      <w:r>
        <w:t xml:space="preserve"> GDC website.  Outcomes and Appeals List.  </w:t>
      </w:r>
      <w:hyperlink r:id="rId6" w:history="1">
        <w:r w:rsidRPr="003F30F0">
          <w:rPr>
            <w:rStyle w:val="Hyperlink"/>
          </w:rPr>
          <w:t>https://olr.gdc-uk.org/hearings</w:t>
        </w:r>
      </w:hyperlink>
      <w:r>
        <w:t xml:space="preserve">  Downloaded on 30 December 2019</w:t>
      </w:r>
    </w:p>
    <w:p w14:paraId="67717392" w14:textId="77777777" w:rsidR="00441B61" w:rsidRDefault="00441B61">
      <w:pPr>
        <w:pStyle w:val="FootnoteText"/>
      </w:pPr>
    </w:p>
  </w:footnote>
  <w:footnote w:id="9">
    <w:p w14:paraId="7B5FC49C" w14:textId="2B142EB7" w:rsidR="00441B61" w:rsidRDefault="00441B61">
      <w:pPr>
        <w:pStyle w:val="FootnoteText"/>
      </w:pPr>
      <w:r>
        <w:rPr>
          <w:rStyle w:val="FootnoteReference"/>
        </w:rPr>
        <w:footnoteRef/>
      </w:r>
      <w:r>
        <w:t xml:space="preserve"> GDC. Guidance for the Practice Committees including Indicative Sanctions Guidance .  Last revised 03 May 2019.  </w:t>
      </w:r>
      <w:hyperlink r:id="rId7" w:history="1">
        <w:r w:rsidRPr="003F30F0">
          <w:rPr>
            <w:rStyle w:val="Hyperlink"/>
          </w:rPr>
          <w:t>https://www.gdc-uk.org/docs/default-source/hearing-and-decisions/guidance-for-the-practic-committees---indicative-sanctions-guidance.pdf?sfvrsn=9a17c9ae_2</w:t>
        </w:r>
      </w:hyperlink>
      <w:r>
        <w:t xml:space="preserve">  Downloaded on 31 December 2019</w:t>
      </w:r>
    </w:p>
    <w:p w14:paraId="73D22F0D" w14:textId="77777777" w:rsidR="00441B61" w:rsidRDefault="00441B61">
      <w:pPr>
        <w:pStyle w:val="FootnoteText"/>
      </w:pPr>
    </w:p>
  </w:footnote>
  <w:footnote w:id="10">
    <w:p w14:paraId="37F625C1" w14:textId="779042B7" w:rsidR="00441B61" w:rsidRDefault="00441B61" w:rsidP="00006291">
      <w:pPr>
        <w:pStyle w:val="FootnoteText"/>
      </w:pPr>
      <w:r>
        <w:rPr>
          <w:rStyle w:val="FootnoteReference"/>
        </w:rPr>
        <w:footnoteRef/>
      </w:r>
      <w:r w:rsidR="00643061">
        <w:t xml:space="preserve"> GDPUK website.   </w:t>
      </w:r>
      <w:r>
        <w:t xml:space="preserve"> </w:t>
      </w:r>
      <w:hyperlink r:id="rId8" w:history="1">
        <w:r w:rsidRPr="003F30F0">
          <w:rPr>
            <w:rStyle w:val="Hyperlink"/>
          </w:rPr>
          <w:t>https://www.gdpuk.com/news/latest-news/3193-dentists-without-legal-representation-face-much-tougher-sanctions-at-gdc-hearings</w:t>
        </w:r>
      </w:hyperlink>
      <w:r w:rsidR="001F737D">
        <w:t xml:space="preserve">  Downloaded on 31 December 2019</w:t>
      </w:r>
    </w:p>
    <w:p w14:paraId="7913232B" w14:textId="77777777" w:rsidR="00441B61" w:rsidRDefault="00441B61" w:rsidP="00006291">
      <w:pPr>
        <w:pStyle w:val="FootnoteText"/>
      </w:pPr>
    </w:p>
  </w:footnote>
  <w:footnote w:id="11">
    <w:p w14:paraId="0ADEFB33" w14:textId="6247BFF9" w:rsidR="001F737D" w:rsidRDefault="001F737D">
      <w:pPr>
        <w:pStyle w:val="FootnoteText"/>
      </w:pPr>
      <w:r>
        <w:rPr>
          <w:rStyle w:val="FootnoteReference"/>
        </w:rPr>
        <w:footnoteRef/>
      </w:r>
      <w:r>
        <w:t xml:space="preserve"> </w:t>
      </w:r>
      <w:r w:rsidR="00643061">
        <w:t xml:space="preserve">Medical Protection website.  </w:t>
      </w:r>
      <w:hyperlink r:id="rId9" w:history="1">
        <w:r w:rsidR="00643061" w:rsidRPr="003F30F0">
          <w:rPr>
            <w:rStyle w:val="Hyperlink"/>
          </w:rPr>
          <w:t>https://www.medicalprotection.org/uk/articles/doctors-without-legal-representation-face-tougher-sanctions-from-mpts-hearings</w:t>
        </w:r>
      </w:hyperlink>
      <w:r>
        <w:t xml:space="preserve">  Downloaded on 31 December 2019</w:t>
      </w:r>
    </w:p>
  </w:footnote>
  <w:footnote w:id="12">
    <w:p w14:paraId="1F803209" w14:textId="71A16AA4" w:rsidR="00C441D0" w:rsidRDefault="00C441D0">
      <w:pPr>
        <w:pStyle w:val="FootnoteText"/>
      </w:pPr>
      <w:r>
        <w:rPr>
          <w:rStyle w:val="FootnoteReference"/>
        </w:rPr>
        <w:footnoteRef/>
      </w:r>
      <w:r>
        <w:t xml:space="preserve"> The Dark Arts of the GDC: covert investigations and entrapment in healthcare regulation.  BLMlaw website 04 November 2019.  </w:t>
      </w:r>
      <w:hyperlink r:id="rId10" w:history="1">
        <w:r w:rsidRPr="003F30F0">
          <w:rPr>
            <w:rStyle w:val="Hyperlink"/>
          </w:rPr>
          <w:t>https://www.blmlaw.com/news/the-dark-arts-of-the-general-dental-council</w:t>
        </w:r>
      </w:hyperlink>
    </w:p>
    <w:p w14:paraId="497A8923" w14:textId="58B972BD" w:rsidR="00C441D0" w:rsidRDefault="00C441D0">
      <w:pPr>
        <w:pStyle w:val="FootnoteText"/>
      </w:pPr>
      <w:r>
        <w:t>Downloaded on 31 December 2019</w:t>
      </w:r>
    </w:p>
  </w:footnote>
  <w:footnote w:id="13">
    <w:p w14:paraId="2F60D07B" w14:textId="3404BB65" w:rsidR="00A86B55" w:rsidRDefault="00A86B55" w:rsidP="004B5430">
      <w:pPr>
        <w:pStyle w:val="NormalWeb"/>
        <w:spacing w:before="0" w:beforeAutospacing="0" w:after="0" w:afterAutospacing="0"/>
      </w:pPr>
      <w:r>
        <w:rPr>
          <w:rStyle w:val="FootnoteReference"/>
        </w:rPr>
        <w:footnoteRef/>
      </w:r>
      <w:r>
        <w:t xml:space="preserve"> </w:t>
      </w:r>
      <w:r w:rsidRPr="00A86B55">
        <w:rPr>
          <w:rFonts w:asciiTheme="minorHAnsi" w:hAnsiTheme="minorHAnsi" w:cstheme="minorHAnsi"/>
          <w:i/>
          <w:iCs/>
          <w:sz w:val="20"/>
          <w:szCs w:val="20"/>
        </w:rPr>
        <w:t>R v Loosely</w:t>
      </w:r>
      <w:r w:rsidRPr="00A86B55">
        <w:rPr>
          <w:rFonts w:asciiTheme="minorHAnsi" w:hAnsiTheme="minorHAnsi" w:cstheme="minorHAnsi"/>
          <w:i/>
          <w:iCs/>
        </w:rPr>
        <w:t xml:space="preserve"> </w:t>
      </w:r>
      <w:r w:rsidRPr="00A86B55">
        <w:rPr>
          <w:rFonts w:asciiTheme="minorHAnsi" w:hAnsiTheme="minorHAnsi" w:cstheme="minorHAnsi"/>
          <w:sz w:val="20"/>
          <w:szCs w:val="20"/>
        </w:rPr>
        <w:t>[2001] UKHL 53</w:t>
      </w:r>
      <w:r w:rsidRPr="00A86B55">
        <w:rPr>
          <w:rFonts w:ascii="Arial" w:hAnsi="Arial" w:cs="Arial"/>
          <w:sz w:val="22"/>
          <w:szCs w:val="22"/>
        </w:rPr>
        <w:t xml:space="preserve"> </w:t>
      </w:r>
    </w:p>
    <w:p w14:paraId="24FA2AB9" w14:textId="79A8EF56" w:rsidR="00A86B55" w:rsidRPr="00A86B55" w:rsidRDefault="00A86B55">
      <w:pPr>
        <w:pStyle w:val="FootnoteText"/>
        <w:rPr>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D51"/>
    <w:multiLevelType w:val="hybridMultilevel"/>
    <w:tmpl w:val="F2847A76"/>
    <w:lvl w:ilvl="0" w:tplc="0809000F">
      <w:start w:val="1"/>
      <w:numFmt w:val="decimal"/>
      <w:lvlText w:val="%1."/>
      <w:lvlJc w:val="lef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1" w15:restartNumberingAfterBreak="0">
    <w:nsid w:val="0AF63C1A"/>
    <w:multiLevelType w:val="hybridMultilevel"/>
    <w:tmpl w:val="E0D8406E"/>
    <w:lvl w:ilvl="0" w:tplc="669CF024">
      <w:start w:val="1"/>
      <w:numFmt w:val="lowerRoman"/>
      <w:lvlText w:val="%1."/>
      <w:lvlJc w:val="lef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 w15:restartNumberingAfterBreak="0">
    <w:nsid w:val="1F245593"/>
    <w:multiLevelType w:val="hybridMultilevel"/>
    <w:tmpl w:val="49FA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5A577E"/>
    <w:multiLevelType w:val="hybridMultilevel"/>
    <w:tmpl w:val="F96C4184"/>
    <w:lvl w:ilvl="0" w:tplc="0809000F">
      <w:start w:val="1"/>
      <w:numFmt w:val="decimal"/>
      <w:lvlText w:val="%1."/>
      <w:lvlJc w:val="left"/>
      <w:pPr>
        <w:ind w:left="720" w:hanging="360"/>
      </w:pPr>
    </w:lvl>
    <w:lvl w:ilvl="1" w:tplc="669CF024">
      <w:start w:val="1"/>
      <w:numFmt w:val="lowerRoman"/>
      <w:lvlText w:val="%2."/>
      <w:lvlJc w:val="left"/>
      <w:pPr>
        <w:ind w:left="776"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AC76EE"/>
    <w:multiLevelType w:val="hybridMultilevel"/>
    <w:tmpl w:val="AE94E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561E0"/>
    <w:multiLevelType w:val="hybridMultilevel"/>
    <w:tmpl w:val="E0D8406E"/>
    <w:lvl w:ilvl="0" w:tplc="669CF024">
      <w:start w:val="1"/>
      <w:numFmt w:val="lowerRoman"/>
      <w:lvlText w:val="%1."/>
      <w:lvlJc w:val="left"/>
      <w:pPr>
        <w:ind w:left="776" w:hanging="360"/>
      </w:pPr>
      <w:rPr>
        <w:rFonts w:hint="default"/>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6" w15:restartNumberingAfterBreak="0">
    <w:nsid w:val="433E520A"/>
    <w:multiLevelType w:val="hybridMultilevel"/>
    <w:tmpl w:val="3188B514"/>
    <w:lvl w:ilvl="0" w:tplc="669CF02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32334FE"/>
    <w:multiLevelType w:val="hybridMultilevel"/>
    <w:tmpl w:val="AFBA18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9B3549"/>
    <w:multiLevelType w:val="hybridMultilevel"/>
    <w:tmpl w:val="C8B0962C"/>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5A357326"/>
    <w:multiLevelType w:val="hybridMultilevel"/>
    <w:tmpl w:val="9EF47C94"/>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0" w15:restartNumberingAfterBreak="0">
    <w:nsid w:val="62B802EE"/>
    <w:multiLevelType w:val="hybridMultilevel"/>
    <w:tmpl w:val="2AC2AA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150EF1"/>
    <w:multiLevelType w:val="hybridMultilevel"/>
    <w:tmpl w:val="EA3C7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2"/>
  </w:num>
  <w:num w:numId="4">
    <w:abstractNumId w:val="11"/>
  </w:num>
  <w:num w:numId="5">
    <w:abstractNumId w:val="7"/>
  </w:num>
  <w:num w:numId="6">
    <w:abstractNumId w:val="4"/>
  </w:num>
  <w:num w:numId="7">
    <w:abstractNumId w:val="0"/>
  </w:num>
  <w:num w:numId="8">
    <w:abstractNumId w:val="10"/>
  </w:num>
  <w:num w:numId="9">
    <w:abstractNumId w:val="6"/>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9DD"/>
    <w:rsid w:val="00003796"/>
    <w:rsid w:val="00006291"/>
    <w:rsid w:val="00026FE0"/>
    <w:rsid w:val="00044376"/>
    <w:rsid w:val="000565AE"/>
    <w:rsid w:val="000579DD"/>
    <w:rsid w:val="00081357"/>
    <w:rsid w:val="00096923"/>
    <w:rsid w:val="000B650D"/>
    <w:rsid w:val="000C2527"/>
    <w:rsid w:val="000C6334"/>
    <w:rsid w:val="000D6861"/>
    <w:rsid w:val="00101D97"/>
    <w:rsid w:val="0010655E"/>
    <w:rsid w:val="0011340E"/>
    <w:rsid w:val="0013558A"/>
    <w:rsid w:val="00145BC2"/>
    <w:rsid w:val="0015428B"/>
    <w:rsid w:val="001639F1"/>
    <w:rsid w:val="00166FCB"/>
    <w:rsid w:val="00176E9F"/>
    <w:rsid w:val="00177CC4"/>
    <w:rsid w:val="001B25FC"/>
    <w:rsid w:val="001F737D"/>
    <w:rsid w:val="00201E85"/>
    <w:rsid w:val="0020264F"/>
    <w:rsid w:val="002176C4"/>
    <w:rsid w:val="00236F49"/>
    <w:rsid w:val="002547D7"/>
    <w:rsid w:val="00260C81"/>
    <w:rsid w:val="00264F63"/>
    <w:rsid w:val="0026621F"/>
    <w:rsid w:val="00295218"/>
    <w:rsid w:val="002C6235"/>
    <w:rsid w:val="002E6FA6"/>
    <w:rsid w:val="002F0634"/>
    <w:rsid w:val="00313C61"/>
    <w:rsid w:val="00343D19"/>
    <w:rsid w:val="00367E01"/>
    <w:rsid w:val="00382B3F"/>
    <w:rsid w:val="003944C0"/>
    <w:rsid w:val="003A09D1"/>
    <w:rsid w:val="003B228E"/>
    <w:rsid w:val="003C45F3"/>
    <w:rsid w:val="003D4AB8"/>
    <w:rsid w:val="003D7E83"/>
    <w:rsid w:val="00403FFC"/>
    <w:rsid w:val="0043112F"/>
    <w:rsid w:val="00441B61"/>
    <w:rsid w:val="00453E6B"/>
    <w:rsid w:val="00464DE4"/>
    <w:rsid w:val="00464E7C"/>
    <w:rsid w:val="004771BD"/>
    <w:rsid w:val="004B5430"/>
    <w:rsid w:val="004B6787"/>
    <w:rsid w:val="004D7AEE"/>
    <w:rsid w:val="004F0C93"/>
    <w:rsid w:val="005143B5"/>
    <w:rsid w:val="00514611"/>
    <w:rsid w:val="00527062"/>
    <w:rsid w:val="00543787"/>
    <w:rsid w:val="00546834"/>
    <w:rsid w:val="00580FDE"/>
    <w:rsid w:val="00595BD5"/>
    <w:rsid w:val="005A0EE5"/>
    <w:rsid w:val="005B3787"/>
    <w:rsid w:val="005D2B86"/>
    <w:rsid w:val="0062054D"/>
    <w:rsid w:val="00627771"/>
    <w:rsid w:val="00641AE0"/>
    <w:rsid w:val="00643061"/>
    <w:rsid w:val="006537EB"/>
    <w:rsid w:val="00657809"/>
    <w:rsid w:val="00687BE1"/>
    <w:rsid w:val="00694D13"/>
    <w:rsid w:val="006D329A"/>
    <w:rsid w:val="006D5D2C"/>
    <w:rsid w:val="006D6C8C"/>
    <w:rsid w:val="006E3B5A"/>
    <w:rsid w:val="006F1584"/>
    <w:rsid w:val="006F4B8E"/>
    <w:rsid w:val="007053B4"/>
    <w:rsid w:val="00715ED7"/>
    <w:rsid w:val="007215D4"/>
    <w:rsid w:val="00725AC0"/>
    <w:rsid w:val="00751B68"/>
    <w:rsid w:val="00753626"/>
    <w:rsid w:val="0076688E"/>
    <w:rsid w:val="007679B8"/>
    <w:rsid w:val="00773AB5"/>
    <w:rsid w:val="007A5D42"/>
    <w:rsid w:val="007B03C6"/>
    <w:rsid w:val="007B1291"/>
    <w:rsid w:val="007B525F"/>
    <w:rsid w:val="007C42FC"/>
    <w:rsid w:val="007D3270"/>
    <w:rsid w:val="007D76F4"/>
    <w:rsid w:val="00811483"/>
    <w:rsid w:val="00814209"/>
    <w:rsid w:val="0083186F"/>
    <w:rsid w:val="008401A4"/>
    <w:rsid w:val="00844D0C"/>
    <w:rsid w:val="008670D2"/>
    <w:rsid w:val="00877FFA"/>
    <w:rsid w:val="008A5DEF"/>
    <w:rsid w:val="008B15B5"/>
    <w:rsid w:val="008E31B8"/>
    <w:rsid w:val="008E334E"/>
    <w:rsid w:val="00902668"/>
    <w:rsid w:val="0090358B"/>
    <w:rsid w:val="009164E7"/>
    <w:rsid w:val="009222CD"/>
    <w:rsid w:val="00926ACD"/>
    <w:rsid w:val="00933970"/>
    <w:rsid w:val="00976B39"/>
    <w:rsid w:val="00992C42"/>
    <w:rsid w:val="00994F2A"/>
    <w:rsid w:val="009B7DA5"/>
    <w:rsid w:val="009D0A3C"/>
    <w:rsid w:val="009D5213"/>
    <w:rsid w:val="00A079E6"/>
    <w:rsid w:val="00A519FC"/>
    <w:rsid w:val="00A66F25"/>
    <w:rsid w:val="00A8428A"/>
    <w:rsid w:val="00A86B55"/>
    <w:rsid w:val="00A97520"/>
    <w:rsid w:val="00AA1A8A"/>
    <w:rsid w:val="00AB0526"/>
    <w:rsid w:val="00AB2D56"/>
    <w:rsid w:val="00AB5C9E"/>
    <w:rsid w:val="00AD28EE"/>
    <w:rsid w:val="00AE1063"/>
    <w:rsid w:val="00B06EAA"/>
    <w:rsid w:val="00B1242E"/>
    <w:rsid w:val="00B1660C"/>
    <w:rsid w:val="00B16DFF"/>
    <w:rsid w:val="00B227F7"/>
    <w:rsid w:val="00B32058"/>
    <w:rsid w:val="00B361D1"/>
    <w:rsid w:val="00B57305"/>
    <w:rsid w:val="00BA2BDE"/>
    <w:rsid w:val="00BB2F94"/>
    <w:rsid w:val="00BC2C8A"/>
    <w:rsid w:val="00BD1304"/>
    <w:rsid w:val="00BE2A80"/>
    <w:rsid w:val="00BF2989"/>
    <w:rsid w:val="00C07064"/>
    <w:rsid w:val="00C15CD2"/>
    <w:rsid w:val="00C366A4"/>
    <w:rsid w:val="00C42A6A"/>
    <w:rsid w:val="00C441D0"/>
    <w:rsid w:val="00C558BF"/>
    <w:rsid w:val="00C842A2"/>
    <w:rsid w:val="00C92487"/>
    <w:rsid w:val="00CA1786"/>
    <w:rsid w:val="00CB584C"/>
    <w:rsid w:val="00CB5A21"/>
    <w:rsid w:val="00CC5CC6"/>
    <w:rsid w:val="00D05A8E"/>
    <w:rsid w:val="00D23626"/>
    <w:rsid w:val="00D42717"/>
    <w:rsid w:val="00D67E3E"/>
    <w:rsid w:val="00D7562E"/>
    <w:rsid w:val="00DA53F0"/>
    <w:rsid w:val="00DB10A6"/>
    <w:rsid w:val="00DB596B"/>
    <w:rsid w:val="00DF3C84"/>
    <w:rsid w:val="00E055B9"/>
    <w:rsid w:val="00E1301A"/>
    <w:rsid w:val="00E23FF7"/>
    <w:rsid w:val="00E374CF"/>
    <w:rsid w:val="00E42A99"/>
    <w:rsid w:val="00E60149"/>
    <w:rsid w:val="00E70008"/>
    <w:rsid w:val="00E70808"/>
    <w:rsid w:val="00E93B57"/>
    <w:rsid w:val="00EA4D5D"/>
    <w:rsid w:val="00EC2249"/>
    <w:rsid w:val="00ED3010"/>
    <w:rsid w:val="00EE1FC0"/>
    <w:rsid w:val="00EF0D60"/>
    <w:rsid w:val="00EF4D5F"/>
    <w:rsid w:val="00EF63D8"/>
    <w:rsid w:val="00F43E29"/>
    <w:rsid w:val="00F54CEB"/>
    <w:rsid w:val="00F63164"/>
    <w:rsid w:val="00F67D7F"/>
    <w:rsid w:val="00F83E58"/>
    <w:rsid w:val="00F8684D"/>
    <w:rsid w:val="00F87847"/>
    <w:rsid w:val="00FA0BCB"/>
    <w:rsid w:val="00FA3451"/>
    <w:rsid w:val="00FD2A7C"/>
    <w:rsid w:val="00FE6BD6"/>
    <w:rsid w:val="00FE7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2C5F"/>
  <w14:defaultImageDpi w14:val="32767"/>
  <w15:chartTrackingRefBased/>
  <w15:docId w15:val="{B43C4590-355B-3942-A69F-1B5B63680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1D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B361D1"/>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D329A"/>
    <w:rPr>
      <w:sz w:val="20"/>
      <w:szCs w:val="20"/>
    </w:rPr>
  </w:style>
  <w:style w:type="character" w:customStyle="1" w:styleId="FootnoteTextChar">
    <w:name w:val="Footnote Text Char"/>
    <w:basedOn w:val="DefaultParagraphFont"/>
    <w:link w:val="FootnoteText"/>
    <w:uiPriority w:val="99"/>
    <w:rsid w:val="006D329A"/>
    <w:rPr>
      <w:sz w:val="20"/>
      <w:szCs w:val="20"/>
    </w:rPr>
  </w:style>
  <w:style w:type="character" w:styleId="FootnoteReference">
    <w:name w:val="footnote reference"/>
    <w:basedOn w:val="DefaultParagraphFont"/>
    <w:uiPriority w:val="99"/>
    <w:semiHidden/>
    <w:unhideWhenUsed/>
    <w:rsid w:val="006D329A"/>
    <w:rPr>
      <w:vertAlign w:val="superscript"/>
    </w:rPr>
  </w:style>
  <w:style w:type="character" w:customStyle="1" w:styleId="Heading4Char">
    <w:name w:val="Heading 4 Char"/>
    <w:basedOn w:val="DefaultParagraphFont"/>
    <w:link w:val="Heading4"/>
    <w:uiPriority w:val="9"/>
    <w:rsid w:val="00B361D1"/>
    <w:rPr>
      <w:rFonts w:ascii="Times New Roman" w:eastAsia="Times New Roman" w:hAnsi="Times New Roman" w:cs="Times New Roman"/>
      <w:b/>
      <w:bCs/>
      <w:lang w:eastAsia="en-GB"/>
    </w:rPr>
  </w:style>
  <w:style w:type="character" w:customStyle="1" w:styleId="Heading1Char">
    <w:name w:val="Heading 1 Char"/>
    <w:basedOn w:val="DefaultParagraphFont"/>
    <w:link w:val="Heading1"/>
    <w:uiPriority w:val="9"/>
    <w:rsid w:val="00B361D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B361D1"/>
    <w:rPr>
      <w:color w:val="0000FF"/>
      <w:u w:val="single"/>
    </w:rPr>
  </w:style>
  <w:style w:type="character" w:customStyle="1" w:styleId="apple-converted-space">
    <w:name w:val="apple-converted-space"/>
    <w:basedOn w:val="DefaultParagraphFont"/>
    <w:rsid w:val="00EC2249"/>
  </w:style>
  <w:style w:type="character" w:styleId="UnresolvedMention">
    <w:name w:val="Unresolved Mention"/>
    <w:basedOn w:val="DefaultParagraphFont"/>
    <w:uiPriority w:val="99"/>
    <w:rsid w:val="00EA4D5D"/>
    <w:rPr>
      <w:color w:val="605E5C"/>
      <w:shd w:val="clear" w:color="auto" w:fill="E1DFDD"/>
    </w:rPr>
  </w:style>
  <w:style w:type="character" w:customStyle="1" w:styleId="cofootnotenode">
    <w:name w:val="co_footnotenode"/>
    <w:basedOn w:val="DefaultParagraphFont"/>
    <w:rsid w:val="00AA1A8A"/>
  </w:style>
  <w:style w:type="paragraph" w:styleId="NormalWeb">
    <w:name w:val="Normal (Web)"/>
    <w:basedOn w:val="Normal"/>
    <w:uiPriority w:val="99"/>
    <w:semiHidden/>
    <w:unhideWhenUsed/>
    <w:rsid w:val="00BB2F94"/>
    <w:pPr>
      <w:spacing w:before="100" w:beforeAutospacing="1" w:after="100" w:afterAutospacing="1"/>
    </w:pPr>
    <w:rPr>
      <w:rFonts w:ascii="Times New Roman" w:eastAsia="Times New Roman" w:hAnsi="Times New Roman" w:cs="Times New Roman"/>
      <w:lang w:eastAsia="en-GB"/>
    </w:rPr>
  </w:style>
  <w:style w:type="character" w:styleId="FollowedHyperlink">
    <w:name w:val="FollowedHyperlink"/>
    <w:basedOn w:val="DefaultParagraphFont"/>
    <w:uiPriority w:val="99"/>
    <w:semiHidden/>
    <w:unhideWhenUsed/>
    <w:rsid w:val="00D67E3E"/>
    <w:rPr>
      <w:color w:val="954F72" w:themeColor="followedHyperlink"/>
      <w:u w:val="single"/>
    </w:rPr>
  </w:style>
  <w:style w:type="paragraph" w:styleId="ListParagraph">
    <w:name w:val="List Paragraph"/>
    <w:basedOn w:val="Normal"/>
    <w:uiPriority w:val="34"/>
    <w:qFormat/>
    <w:rsid w:val="00DB596B"/>
    <w:pPr>
      <w:ind w:left="720"/>
      <w:contextualSpacing/>
    </w:pPr>
  </w:style>
  <w:style w:type="table" w:styleId="TableGrid">
    <w:name w:val="Table Grid"/>
    <w:basedOn w:val="TableNormal"/>
    <w:uiPriority w:val="39"/>
    <w:rsid w:val="00044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5A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65A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338032">
      <w:bodyDiv w:val="1"/>
      <w:marLeft w:val="0"/>
      <w:marRight w:val="0"/>
      <w:marTop w:val="0"/>
      <w:marBottom w:val="0"/>
      <w:divBdr>
        <w:top w:val="none" w:sz="0" w:space="0" w:color="auto"/>
        <w:left w:val="none" w:sz="0" w:space="0" w:color="auto"/>
        <w:bottom w:val="none" w:sz="0" w:space="0" w:color="auto"/>
        <w:right w:val="none" w:sz="0" w:space="0" w:color="auto"/>
      </w:divBdr>
      <w:divsChild>
        <w:div w:id="452604281">
          <w:marLeft w:val="0"/>
          <w:marRight w:val="0"/>
          <w:marTop w:val="240"/>
          <w:marBottom w:val="240"/>
          <w:divBdr>
            <w:top w:val="none" w:sz="0" w:space="0" w:color="auto"/>
            <w:left w:val="none" w:sz="0" w:space="0" w:color="auto"/>
            <w:bottom w:val="none" w:sz="0" w:space="0" w:color="auto"/>
            <w:right w:val="none" w:sz="0" w:space="0" w:color="auto"/>
          </w:divBdr>
        </w:div>
      </w:divsChild>
    </w:div>
    <w:div w:id="218439057">
      <w:bodyDiv w:val="1"/>
      <w:marLeft w:val="0"/>
      <w:marRight w:val="0"/>
      <w:marTop w:val="0"/>
      <w:marBottom w:val="0"/>
      <w:divBdr>
        <w:top w:val="none" w:sz="0" w:space="0" w:color="auto"/>
        <w:left w:val="none" w:sz="0" w:space="0" w:color="auto"/>
        <w:bottom w:val="none" w:sz="0" w:space="0" w:color="auto"/>
        <w:right w:val="none" w:sz="0" w:space="0" w:color="auto"/>
      </w:divBdr>
      <w:divsChild>
        <w:div w:id="182324148">
          <w:marLeft w:val="0"/>
          <w:marRight w:val="0"/>
          <w:marTop w:val="240"/>
          <w:marBottom w:val="240"/>
          <w:divBdr>
            <w:top w:val="none" w:sz="0" w:space="0" w:color="auto"/>
            <w:left w:val="none" w:sz="0" w:space="0" w:color="auto"/>
            <w:bottom w:val="none" w:sz="0" w:space="0" w:color="auto"/>
            <w:right w:val="none" w:sz="0" w:space="0" w:color="auto"/>
          </w:divBdr>
        </w:div>
      </w:divsChild>
    </w:div>
    <w:div w:id="272517133">
      <w:bodyDiv w:val="1"/>
      <w:marLeft w:val="0"/>
      <w:marRight w:val="0"/>
      <w:marTop w:val="0"/>
      <w:marBottom w:val="0"/>
      <w:divBdr>
        <w:top w:val="none" w:sz="0" w:space="0" w:color="auto"/>
        <w:left w:val="none" w:sz="0" w:space="0" w:color="auto"/>
        <w:bottom w:val="none" w:sz="0" w:space="0" w:color="auto"/>
        <w:right w:val="none" w:sz="0" w:space="0" w:color="auto"/>
      </w:divBdr>
      <w:divsChild>
        <w:div w:id="341707300">
          <w:marLeft w:val="0"/>
          <w:marRight w:val="0"/>
          <w:marTop w:val="0"/>
          <w:marBottom w:val="0"/>
          <w:divBdr>
            <w:top w:val="none" w:sz="0" w:space="0" w:color="auto"/>
            <w:left w:val="none" w:sz="0" w:space="0" w:color="auto"/>
            <w:bottom w:val="none" w:sz="0" w:space="0" w:color="auto"/>
            <w:right w:val="none" w:sz="0" w:space="0" w:color="auto"/>
          </w:divBdr>
          <w:divsChild>
            <w:div w:id="1796286614">
              <w:marLeft w:val="0"/>
              <w:marRight w:val="0"/>
              <w:marTop w:val="0"/>
              <w:marBottom w:val="0"/>
              <w:divBdr>
                <w:top w:val="none" w:sz="0" w:space="0" w:color="auto"/>
                <w:left w:val="none" w:sz="0" w:space="0" w:color="auto"/>
                <w:bottom w:val="none" w:sz="0" w:space="0" w:color="auto"/>
                <w:right w:val="none" w:sz="0" w:space="0" w:color="auto"/>
              </w:divBdr>
              <w:divsChild>
                <w:div w:id="131414289">
                  <w:marLeft w:val="0"/>
                  <w:marRight w:val="0"/>
                  <w:marTop w:val="0"/>
                  <w:marBottom w:val="0"/>
                  <w:divBdr>
                    <w:top w:val="none" w:sz="0" w:space="0" w:color="auto"/>
                    <w:left w:val="none" w:sz="0" w:space="0" w:color="auto"/>
                    <w:bottom w:val="none" w:sz="0" w:space="0" w:color="auto"/>
                    <w:right w:val="none" w:sz="0" w:space="0" w:color="auto"/>
                  </w:divBdr>
                  <w:divsChild>
                    <w:div w:id="18018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502698">
      <w:bodyDiv w:val="1"/>
      <w:marLeft w:val="0"/>
      <w:marRight w:val="0"/>
      <w:marTop w:val="0"/>
      <w:marBottom w:val="0"/>
      <w:divBdr>
        <w:top w:val="none" w:sz="0" w:space="0" w:color="auto"/>
        <w:left w:val="none" w:sz="0" w:space="0" w:color="auto"/>
        <w:bottom w:val="none" w:sz="0" w:space="0" w:color="auto"/>
        <w:right w:val="none" w:sz="0" w:space="0" w:color="auto"/>
      </w:divBdr>
      <w:divsChild>
        <w:div w:id="840310887">
          <w:marLeft w:val="0"/>
          <w:marRight w:val="0"/>
          <w:marTop w:val="0"/>
          <w:marBottom w:val="0"/>
          <w:divBdr>
            <w:top w:val="none" w:sz="0" w:space="0" w:color="auto"/>
            <w:left w:val="none" w:sz="0" w:space="0" w:color="auto"/>
            <w:bottom w:val="none" w:sz="0" w:space="0" w:color="auto"/>
            <w:right w:val="none" w:sz="0" w:space="0" w:color="auto"/>
          </w:divBdr>
          <w:divsChild>
            <w:div w:id="1340692694">
              <w:marLeft w:val="0"/>
              <w:marRight w:val="0"/>
              <w:marTop w:val="0"/>
              <w:marBottom w:val="0"/>
              <w:divBdr>
                <w:top w:val="none" w:sz="0" w:space="0" w:color="auto"/>
                <w:left w:val="none" w:sz="0" w:space="0" w:color="auto"/>
                <w:bottom w:val="none" w:sz="0" w:space="0" w:color="auto"/>
                <w:right w:val="none" w:sz="0" w:space="0" w:color="auto"/>
              </w:divBdr>
              <w:divsChild>
                <w:div w:id="185160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60727">
      <w:bodyDiv w:val="1"/>
      <w:marLeft w:val="0"/>
      <w:marRight w:val="0"/>
      <w:marTop w:val="0"/>
      <w:marBottom w:val="0"/>
      <w:divBdr>
        <w:top w:val="none" w:sz="0" w:space="0" w:color="auto"/>
        <w:left w:val="none" w:sz="0" w:space="0" w:color="auto"/>
        <w:bottom w:val="none" w:sz="0" w:space="0" w:color="auto"/>
        <w:right w:val="none" w:sz="0" w:space="0" w:color="auto"/>
      </w:divBdr>
    </w:div>
    <w:div w:id="335349410">
      <w:bodyDiv w:val="1"/>
      <w:marLeft w:val="0"/>
      <w:marRight w:val="0"/>
      <w:marTop w:val="0"/>
      <w:marBottom w:val="0"/>
      <w:divBdr>
        <w:top w:val="none" w:sz="0" w:space="0" w:color="auto"/>
        <w:left w:val="none" w:sz="0" w:space="0" w:color="auto"/>
        <w:bottom w:val="none" w:sz="0" w:space="0" w:color="auto"/>
        <w:right w:val="none" w:sz="0" w:space="0" w:color="auto"/>
      </w:divBdr>
      <w:divsChild>
        <w:div w:id="1157647105">
          <w:marLeft w:val="0"/>
          <w:marRight w:val="0"/>
          <w:marTop w:val="240"/>
          <w:marBottom w:val="240"/>
          <w:divBdr>
            <w:top w:val="none" w:sz="0" w:space="0" w:color="auto"/>
            <w:left w:val="none" w:sz="0" w:space="0" w:color="auto"/>
            <w:bottom w:val="none" w:sz="0" w:space="0" w:color="auto"/>
            <w:right w:val="none" w:sz="0" w:space="0" w:color="auto"/>
          </w:divBdr>
          <w:divsChild>
            <w:div w:id="1502818574">
              <w:marLeft w:val="0"/>
              <w:marRight w:val="0"/>
              <w:marTop w:val="240"/>
              <w:marBottom w:val="240"/>
              <w:divBdr>
                <w:top w:val="none" w:sz="0" w:space="0" w:color="auto"/>
                <w:left w:val="none" w:sz="0" w:space="0" w:color="auto"/>
                <w:bottom w:val="none" w:sz="0" w:space="0" w:color="auto"/>
                <w:right w:val="none" w:sz="0" w:space="0" w:color="auto"/>
              </w:divBdr>
            </w:div>
            <w:div w:id="21720930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384447401">
      <w:bodyDiv w:val="1"/>
      <w:marLeft w:val="0"/>
      <w:marRight w:val="0"/>
      <w:marTop w:val="0"/>
      <w:marBottom w:val="0"/>
      <w:divBdr>
        <w:top w:val="none" w:sz="0" w:space="0" w:color="auto"/>
        <w:left w:val="none" w:sz="0" w:space="0" w:color="auto"/>
        <w:bottom w:val="none" w:sz="0" w:space="0" w:color="auto"/>
        <w:right w:val="none" w:sz="0" w:space="0" w:color="auto"/>
      </w:divBdr>
      <w:divsChild>
        <w:div w:id="799147543">
          <w:marLeft w:val="0"/>
          <w:marRight w:val="0"/>
          <w:marTop w:val="0"/>
          <w:marBottom w:val="0"/>
          <w:divBdr>
            <w:top w:val="none" w:sz="0" w:space="0" w:color="auto"/>
            <w:left w:val="none" w:sz="0" w:space="0" w:color="auto"/>
            <w:bottom w:val="none" w:sz="0" w:space="0" w:color="auto"/>
            <w:right w:val="none" w:sz="0" w:space="0" w:color="auto"/>
          </w:divBdr>
          <w:divsChild>
            <w:div w:id="879636204">
              <w:marLeft w:val="0"/>
              <w:marRight w:val="0"/>
              <w:marTop w:val="0"/>
              <w:marBottom w:val="0"/>
              <w:divBdr>
                <w:top w:val="none" w:sz="0" w:space="0" w:color="auto"/>
                <w:left w:val="none" w:sz="0" w:space="0" w:color="auto"/>
                <w:bottom w:val="none" w:sz="0" w:space="0" w:color="auto"/>
                <w:right w:val="none" w:sz="0" w:space="0" w:color="auto"/>
              </w:divBdr>
              <w:divsChild>
                <w:div w:id="2035880819">
                  <w:marLeft w:val="0"/>
                  <w:marRight w:val="0"/>
                  <w:marTop w:val="0"/>
                  <w:marBottom w:val="0"/>
                  <w:divBdr>
                    <w:top w:val="none" w:sz="0" w:space="0" w:color="auto"/>
                    <w:left w:val="none" w:sz="0" w:space="0" w:color="auto"/>
                    <w:bottom w:val="none" w:sz="0" w:space="0" w:color="auto"/>
                    <w:right w:val="none" w:sz="0" w:space="0" w:color="auto"/>
                  </w:divBdr>
                  <w:divsChild>
                    <w:div w:id="192271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9038">
      <w:bodyDiv w:val="1"/>
      <w:marLeft w:val="0"/>
      <w:marRight w:val="0"/>
      <w:marTop w:val="0"/>
      <w:marBottom w:val="0"/>
      <w:divBdr>
        <w:top w:val="none" w:sz="0" w:space="0" w:color="auto"/>
        <w:left w:val="none" w:sz="0" w:space="0" w:color="auto"/>
        <w:bottom w:val="none" w:sz="0" w:space="0" w:color="auto"/>
        <w:right w:val="none" w:sz="0" w:space="0" w:color="auto"/>
      </w:divBdr>
    </w:div>
    <w:div w:id="485361307">
      <w:bodyDiv w:val="1"/>
      <w:marLeft w:val="0"/>
      <w:marRight w:val="0"/>
      <w:marTop w:val="0"/>
      <w:marBottom w:val="0"/>
      <w:divBdr>
        <w:top w:val="none" w:sz="0" w:space="0" w:color="auto"/>
        <w:left w:val="none" w:sz="0" w:space="0" w:color="auto"/>
        <w:bottom w:val="none" w:sz="0" w:space="0" w:color="auto"/>
        <w:right w:val="none" w:sz="0" w:space="0" w:color="auto"/>
      </w:divBdr>
      <w:divsChild>
        <w:div w:id="968121061">
          <w:marLeft w:val="0"/>
          <w:marRight w:val="0"/>
          <w:marTop w:val="0"/>
          <w:marBottom w:val="0"/>
          <w:divBdr>
            <w:top w:val="none" w:sz="0" w:space="0" w:color="auto"/>
            <w:left w:val="none" w:sz="0" w:space="0" w:color="auto"/>
            <w:bottom w:val="none" w:sz="0" w:space="0" w:color="auto"/>
            <w:right w:val="none" w:sz="0" w:space="0" w:color="auto"/>
          </w:divBdr>
          <w:divsChild>
            <w:div w:id="1287855745">
              <w:marLeft w:val="0"/>
              <w:marRight w:val="0"/>
              <w:marTop w:val="0"/>
              <w:marBottom w:val="0"/>
              <w:divBdr>
                <w:top w:val="none" w:sz="0" w:space="0" w:color="auto"/>
                <w:left w:val="none" w:sz="0" w:space="0" w:color="auto"/>
                <w:bottom w:val="none" w:sz="0" w:space="0" w:color="auto"/>
                <w:right w:val="none" w:sz="0" w:space="0" w:color="auto"/>
              </w:divBdr>
              <w:divsChild>
                <w:div w:id="20267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118809">
      <w:bodyDiv w:val="1"/>
      <w:marLeft w:val="0"/>
      <w:marRight w:val="0"/>
      <w:marTop w:val="0"/>
      <w:marBottom w:val="0"/>
      <w:divBdr>
        <w:top w:val="none" w:sz="0" w:space="0" w:color="auto"/>
        <w:left w:val="none" w:sz="0" w:space="0" w:color="auto"/>
        <w:bottom w:val="none" w:sz="0" w:space="0" w:color="auto"/>
        <w:right w:val="none" w:sz="0" w:space="0" w:color="auto"/>
      </w:divBdr>
    </w:div>
    <w:div w:id="857811325">
      <w:bodyDiv w:val="1"/>
      <w:marLeft w:val="0"/>
      <w:marRight w:val="0"/>
      <w:marTop w:val="0"/>
      <w:marBottom w:val="0"/>
      <w:divBdr>
        <w:top w:val="none" w:sz="0" w:space="0" w:color="auto"/>
        <w:left w:val="none" w:sz="0" w:space="0" w:color="auto"/>
        <w:bottom w:val="none" w:sz="0" w:space="0" w:color="auto"/>
        <w:right w:val="none" w:sz="0" w:space="0" w:color="auto"/>
      </w:divBdr>
    </w:div>
    <w:div w:id="1297220406">
      <w:bodyDiv w:val="1"/>
      <w:marLeft w:val="0"/>
      <w:marRight w:val="0"/>
      <w:marTop w:val="0"/>
      <w:marBottom w:val="0"/>
      <w:divBdr>
        <w:top w:val="none" w:sz="0" w:space="0" w:color="auto"/>
        <w:left w:val="none" w:sz="0" w:space="0" w:color="auto"/>
        <w:bottom w:val="none" w:sz="0" w:space="0" w:color="auto"/>
        <w:right w:val="none" w:sz="0" w:space="0" w:color="auto"/>
      </w:divBdr>
    </w:div>
    <w:div w:id="1488522520">
      <w:bodyDiv w:val="1"/>
      <w:marLeft w:val="0"/>
      <w:marRight w:val="0"/>
      <w:marTop w:val="0"/>
      <w:marBottom w:val="0"/>
      <w:divBdr>
        <w:top w:val="none" w:sz="0" w:space="0" w:color="auto"/>
        <w:left w:val="none" w:sz="0" w:space="0" w:color="auto"/>
        <w:bottom w:val="none" w:sz="0" w:space="0" w:color="auto"/>
        <w:right w:val="none" w:sz="0" w:space="0" w:color="auto"/>
      </w:divBdr>
      <w:divsChild>
        <w:div w:id="1081760390">
          <w:marLeft w:val="0"/>
          <w:marRight w:val="0"/>
          <w:marTop w:val="0"/>
          <w:marBottom w:val="0"/>
          <w:divBdr>
            <w:top w:val="none" w:sz="0" w:space="0" w:color="auto"/>
            <w:left w:val="none" w:sz="0" w:space="0" w:color="auto"/>
            <w:bottom w:val="none" w:sz="0" w:space="0" w:color="auto"/>
            <w:right w:val="none" w:sz="0" w:space="0" w:color="auto"/>
          </w:divBdr>
          <w:divsChild>
            <w:div w:id="1442141989">
              <w:marLeft w:val="0"/>
              <w:marRight w:val="0"/>
              <w:marTop w:val="0"/>
              <w:marBottom w:val="0"/>
              <w:divBdr>
                <w:top w:val="none" w:sz="0" w:space="0" w:color="auto"/>
                <w:left w:val="none" w:sz="0" w:space="0" w:color="auto"/>
                <w:bottom w:val="none" w:sz="0" w:space="0" w:color="auto"/>
                <w:right w:val="none" w:sz="0" w:space="0" w:color="auto"/>
              </w:divBdr>
              <w:divsChild>
                <w:div w:id="15281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285441">
      <w:bodyDiv w:val="1"/>
      <w:marLeft w:val="0"/>
      <w:marRight w:val="0"/>
      <w:marTop w:val="0"/>
      <w:marBottom w:val="0"/>
      <w:divBdr>
        <w:top w:val="none" w:sz="0" w:space="0" w:color="auto"/>
        <w:left w:val="none" w:sz="0" w:space="0" w:color="auto"/>
        <w:bottom w:val="none" w:sz="0" w:space="0" w:color="auto"/>
        <w:right w:val="none" w:sz="0" w:space="0" w:color="auto"/>
      </w:divBdr>
    </w:div>
    <w:div w:id="1919632505">
      <w:bodyDiv w:val="1"/>
      <w:marLeft w:val="0"/>
      <w:marRight w:val="0"/>
      <w:marTop w:val="0"/>
      <w:marBottom w:val="0"/>
      <w:divBdr>
        <w:top w:val="none" w:sz="0" w:space="0" w:color="auto"/>
        <w:left w:val="none" w:sz="0" w:space="0" w:color="auto"/>
        <w:bottom w:val="none" w:sz="0" w:space="0" w:color="auto"/>
        <w:right w:val="none" w:sz="0" w:space="0" w:color="auto"/>
      </w:divBdr>
      <w:divsChild>
        <w:div w:id="142092029">
          <w:marLeft w:val="0"/>
          <w:marRight w:val="0"/>
          <w:marTop w:val="240"/>
          <w:marBottom w:val="240"/>
          <w:divBdr>
            <w:top w:val="none" w:sz="0" w:space="0" w:color="auto"/>
            <w:left w:val="none" w:sz="0" w:space="0" w:color="auto"/>
            <w:bottom w:val="none" w:sz="0" w:space="0" w:color="auto"/>
            <w:right w:val="none" w:sz="0" w:space="0" w:color="auto"/>
          </w:divBdr>
        </w:div>
        <w:div w:id="1188566446">
          <w:marLeft w:val="0"/>
          <w:marRight w:val="0"/>
          <w:marTop w:val="240"/>
          <w:marBottom w:val="240"/>
          <w:divBdr>
            <w:top w:val="none" w:sz="0" w:space="0" w:color="auto"/>
            <w:left w:val="none" w:sz="0" w:space="0" w:color="auto"/>
            <w:bottom w:val="none" w:sz="0" w:space="0" w:color="auto"/>
            <w:right w:val="none" w:sz="0" w:space="0" w:color="auto"/>
          </w:divBdr>
        </w:div>
        <w:div w:id="1200631347">
          <w:marLeft w:val="0"/>
          <w:marRight w:val="0"/>
          <w:marTop w:val="240"/>
          <w:marBottom w:val="240"/>
          <w:divBdr>
            <w:top w:val="none" w:sz="0" w:space="0" w:color="auto"/>
            <w:left w:val="none" w:sz="0" w:space="0" w:color="auto"/>
            <w:bottom w:val="none" w:sz="0" w:space="0" w:color="auto"/>
            <w:right w:val="none" w:sz="0" w:space="0" w:color="auto"/>
          </w:divBdr>
          <w:divsChild>
            <w:div w:id="1216233446">
              <w:marLeft w:val="0"/>
              <w:marRight w:val="0"/>
              <w:marTop w:val="240"/>
              <w:marBottom w:val="240"/>
              <w:divBdr>
                <w:top w:val="none" w:sz="0" w:space="0" w:color="auto"/>
                <w:left w:val="none" w:sz="0" w:space="0" w:color="auto"/>
                <w:bottom w:val="none" w:sz="0" w:space="0" w:color="auto"/>
                <w:right w:val="none" w:sz="0" w:space="0" w:color="auto"/>
              </w:divBdr>
            </w:div>
            <w:div w:id="1680038371">
              <w:marLeft w:val="0"/>
              <w:marRight w:val="0"/>
              <w:marTop w:val="240"/>
              <w:marBottom w:val="240"/>
              <w:divBdr>
                <w:top w:val="none" w:sz="0" w:space="0" w:color="auto"/>
                <w:left w:val="none" w:sz="0" w:space="0" w:color="auto"/>
                <w:bottom w:val="none" w:sz="0" w:space="0" w:color="auto"/>
                <w:right w:val="none" w:sz="0" w:space="0" w:color="auto"/>
              </w:divBdr>
            </w:div>
            <w:div w:id="197329287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963728677">
      <w:bodyDiv w:val="1"/>
      <w:marLeft w:val="0"/>
      <w:marRight w:val="0"/>
      <w:marTop w:val="0"/>
      <w:marBottom w:val="0"/>
      <w:divBdr>
        <w:top w:val="none" w:sz="0" w:space="0" w:color="auto"/>
        <w:left w:val="none" w:sz="0" w:space="0" w:color="auto"/>
        <w:bottom w:val="none" w:sz="0" w:space="0" w:color="auto"/>
        <w:right w:val="none" w:sz="0" w:space="0" w:color="auto"/>
      </w:divBdr>
    </w:div>
    <w:div w:id="199028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www.gdpuk.com/news/latest-news/3193-dentists-without-legal-representation-face-much-tougher-sanctions-at-gdc-hearings" TargetMode="External"/><Relationship Id="rId3" Type="http://schemas.openxmlformats.org/officeDocument/2006/relationships/hyperlink" Target="https://www.gdc-uk.org/registration/join-the-register/how-to-join-the-register" TargetMode="External"/><Relationship Id="rId7" Type="http://schemas.openxmlformats.org/officeDocument/2006/relationships/hyperlink" Target="https://www.gdc-uk.org/docs/default-source/hearing-and-decisions/guidance-for-the-practic-committees---indicative-sanctions-guidance.pdf?sfvrsn=9a17c9ae_2" TargetMode="External"/><Relationship Id="rId2" Type="http://schemas.openxmlformats.org/officeDocument/2006/relationships/hyperlink" Target="https://www.gdc-uk.org/about-us" TargetMode="External"/><Relationship Id="rId1" Type="http://schemas.openxmlformats.org/officeDocument/2006/relationships/hyperlink" Target="https://uk.westlaw.com/Document/I601C8100E42311DAA7CF8F68F6EE57AB/View/FullText.html?originationContext=document&amp;transitionType=DocumentItem&amp;contextData=(sc.DocLink)" TargetMode="External"/><Relationship Id="rId6" Type="http://schemas.openxmlformats.org/officeDocument/2006/relationships/hyperlink" Target="https://olr.gdc-uk.org/hearings" TargetMode="External"/><Relationship Id="rId5" Type="http://schemas.openxmlformats.org/officeDocument/2006/relationships/hyperlink" Target="https://www.gdc-uk.org/docs/default-source/registration-reports/registration-report---december-2019.pdf?sfvrsn=39e9b72e_2" TargetMode="External"/><Relationship Id="rId10" Type="http://schemas.openxmlformats.org/officeDocument/2006/relationships/hyperlink" Target="https://www.blmlaw.com/news/the-dark-arts-of-the-general-dental-council" TargetMode="External"/><Relationship Id="rId4" Type="http://schemas.openxmlformats.org/officeDocument/2006/relationships/hyperlink" Target="https://www.gdc-uk.org/docs/default-source/scope-of-practice/scope-of-practice.pdf?sfvrsn=8f417ca8_4" TargetMode="External"/><Relationship Id="rId9" Type="http://schemas.openxmlformats.org/officeDocument/2006/relationships/hyperlink" Target="https://www.medicalprotection.org/uk/articles/doctors-without-legal-representation-face-tougher-sanctions-from-mpts-hear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4333</Words>
  <Characters>23443</Characters>
  <Application>Microsoft Office Word</Application>
  <DocSecurity>0</DocSecurity>
  <Lines>586</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Beckett</dc:creator>
  <cp:keywords/>
  <dc:description/>
  <cp:lastModifiedBy>Heather Beckett</cp:lastModifiedBy>
  <cp:revision>3</cp:revision>
  <cp:lastPrinted>2020-01-18T19:06:00Z</cp:lastPrinted>
  <dcterms:created xsi:type="dcterms:W3CDTF">2020-01-18T19:06:00Z</dcterms:created>
  <dcterms:modified xsi:type="dcterms:W3CDTF">2020-01-18T19:07:00Z</dcterms:modified>
</cp:coreProperties>
</file>